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5.png" ContentType="image/png"/>
  <Override PartName="/word/media/image2.jpeg" ContentType="image/jpeg"/>
  <Override PartName="/word/media/image3.png" ContentType="image/png"/>
  <Override PartName="/word/media/image4.png" ContentType="image/png"/>
  <Override PartName="/word/media/image8.jpeg" ContentType="image/jpeg"/>
  <Override PartName="/word/media/image6.png" ContentType="image/png"/>
  <Override PartName="/word/media/image7.jpeg" ContentType="image/jpeg"/>
  <Override PartName="/word/media/image9.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jc w:val="both"/>
        <w:rPr/>
      </w:pPr>
      <w:r>
        <w:rPr/>
        <mc:AlternateContent>
          <mc:Choice Requires="wps">
            <w:drawing>
              <wp:anchor behindDoc="0" distT="0" distB="12700" distL="113665" distR="113665" simplePos="0" locked="0" layoutInCell="0" allowOverlap="1" relativeHeight="9" wp14:anchorId="1C309BC2">
                <wp:simplePos x="0" y="0"/>
                <wp:positionH relativeFrom="column">
                  <wp:posOffset>2557145</wp:posOffset>
                </wp:positionH>
                <wp:positionV relativeFrom="paragraph">
                  <wp:posOffset>3810</wp:posOffset>
                </wp:positionV>
                <wp:extent cx="2872105" cy="252730"/>
                <wp:effectExtent l="0" t="0" r="0" b="0"/>
                <wp:wrapSquare wrapText="bothSides"/>
                <wp:docPr id="1" name="Cuadro de texto 1"/>
                <a:graphic xmlns:a="http://schemas.openxmlformats.org/drawingml/2006/main">
                  <a:graphicData uri="http://schemas.microsoft.com/office/word/2010/wordprocessingShape">
                    <wps:wsp>
                      <wps:cNvSpPr/>
                      <wps:spPr>
                        <a:xfrm>
                          <a:off x="0" y="0"/>
                          <a:ext cx="2871360" cy="252000"/>
                        </a:xfrm>
                        <a:prstGeom prst="rect">
                          <a:avLst/>
                        </a:prstGeom>
                        <a:noFill/>
                        <a:ln w="0">
                          <a:noFill/>
                        </a:ln>
                      </wps:spPr>
                      <wps:style>
                        <a:lnRef idx="0"/>
                        <a:fillRef idx="0"/>
                        <a:effectRef idx="0"/>
                        <a:fontRef idx="minor"/>
                      </wps:style>
                      <wps:txbx>
                        <w:txbxContent>
                          <w:p>
                            <w:pPr>
                              <w:pStyle w:val="FrameContents"/>
                              <w:ind w:right="-70" w:hanging="0"/>
                              <w:jc w:val="right"/>
                              <w:rPr>
                                <w:rFonts w:ascii="Century Gothic" w:hAnsi="Century Gothic"/>
                              </w:rPr>
                            </w:pPr>
                            <w:r>
                              <w:rPr>
                                <w:rFonts w:ascii="Century Gothic" w:hAnsi="Century Gothic"/>
                                <w:color w:val="000000"/>
                              </w:rPr>
                              <w:t>UNIDAD DE CULTURA CIENTÍFICA</w:t>
                            </w:r>
                          </w:p>
                          <w:p>
                            <w:pPr>
                              <w:pStyle w:val="FrameContents"/>
                              <w:ind w:right="-70" w:hanging="0"/>
                              <w:jc w:val="right"/>
                              <w:rPr>
                                <w:rFonts w:ascii="Century Gothic" w:hAnsi="Century Gothic"/>
                                <w:color w:val="000000"/>
                              </w:rPr>
                            </w:pPr>
                            <w:r>
                              <w:rPr>
                                <w:rFonts w:ascii="Century Gothic" w:hAnsi="Century Gothic"/>
                                <w:color w:val="000000"/>
                              </w:rPr>
                            </w:r>
                          </w:p>
                          <w:p>
                            <w:pPr>
                              <w:pStyle w:val="FrameContents"/>
                              <w:tabs>
                                <w:tab w:val="clear" w:pos="708"/>
                                <w:tab w:val="left" w:pos="3486" w:leader="none"/>
                              </w:tabs>
                              <w:ind w:right="-70" w:hanging="0"/>
                              <w:jc w:val="center"/>
                              <w:rPr/>
                            </w:pPr>
                            <w:r>
                              <w:rPr/>
                            </w:r>
                          </w:p>
                        </w:txbxContent>
                      </wps:txbx>
                      <wps:bodyPr>
                        <a:noAutofit/>
                      </wps:bodyPr>
                    </wps:wsp>
                  </a:graphicData>
                </a:graphic>
              </wp:anchor>
            </w:drawing>
          </mc:Choice>
          <mc:Fallback>
            <w:pict>
              <v:rect id="shape_0" ID="Cuadro de texto 1" stroked="f" style="position:absolute;margin-left:201.35pt;margin-top:0.3pt;width:226.05pt;height:19.8pt;mso-wrap-style:square;v-text-anchor:top" wp14:anchorId="1C309BC2">
                <v:fill o:detectmouseclick="t" on="false"/>
                <v:stroke color="#3465a4" joinstyle="round" endcap="flat"/>
                <v:textbox>
                  <w:txbxContent>
                    <w:p>
                      <w:pPr>
                        <w:pStyle w:val="FrameContents"/>
                        <w:ind w:right="-70" w:hanging="0"/>
                        <w:jc w:val="right"/>
                        <w:rPr>
                          <w:rFonts w:ascii="Century Gothic" w:hAnsi="Century Gothic"/>
                        </w:rPr>
                      </w:pPr>
                      <w:r>
                        <w:rPr>
                          <w:rFonts w:ascii="Century Gothic" w:hAnsi="Century Gothic"/>
                          <w:color w:val="000000"/>
                        </w:rPr>
                        <w:t>UNIDAD DE CULTURA CIENTÍFICA</w:t>
                      </w:r>
                    </w:p>
                    <w:p>
                      <w:pPr>
                        <w:pStyle w:val="FrameContents"/>
                        <w:ind w:right="-70" w:hanging="0"/>
                        <w:jc w:val="right"/>
                        <w:rPr>
                          <w:rFonts w:ascii="Century Gothic" w:hAnsi="Century Gothic"/>
                          <w:color w:val="000000"/>
                        </w:rPr>
                      </w:pPr>
                      <w:r>
                        <w:rPr>
                          <w:rFonts w:ascii="Century Gothic" w:hAnsi="Century Gothic"/>
                          <w:color w:val="000000"/>
                        </w:rPr>
                      </w:r>
                    </w:p>
                    <w:p>
                      <w:pPr>
                        <w:pStyle w:val="FrameContents"/>
                        <w:tabs>
                          <w:tab w:val="clear" w:pos="708"/>
                          <w:tab w:val="left" w:pos="3486" w:leader="none"/>
                        </w:tabs>
                        <w:ind w:right="-70" w:hanging="0"/>
                        <w:jc w:val="center"/>
                        <w:rPr/>
                      </w:pPr>
                      <w:r>
                        <w:rPr/>
                      </w:r>
                    </w:p>
                  </w:txbxContent>
                </v:textbox>
                <w10:wrap type="square"/>
              </v:rect>
            </w:pict>
          </mc:Fallback>
        </mc:AlternateContent>
      </w:r>
      <w:bookmarkStart w:id="0" w:name="_GoBack"/>
      <w:bookmarkStart w:id="1" w:name="_GoBack"/>
      <w:bookmarkEnd w:id="1"/>
    </w:p>
    <w:p>
      <w:pPr>
        <w:pStyle w:val="Normal"/>
        <w:tabs>
          <w:tab w:val="clear" w:pos="708"/>
          <w:tab w:val="left" w:pos="3486" w:leader="none"/>
        </w:tabs>
        <w:suppressAutoHyphens w:val="true"/>
        <w:jc w:val="both"/>
        <w:rPr>
          <w:rFonts w:ascii="Century Gothic" w:hAnsi="Century Gothic" w:cs="Arial"/>
          <w:b/>
          <w:b/>
          <w:sz w:val="32"/>
          <w:szCs w:val="20"/>
        </w:rPr>
      </w:pPr>
      <w:r>
        <w:rPr>
          <w:rFonts w:cs="Arial" w:ascii="Century Gothic" w:hAnsi="Century Gothic"/>
          <w:b/>
          <w:sz w:val="32"/>
          <w:szCs w:val="20"/>
        </w:rPr>
      </w:r>
    </w:p>
    <w:p>
      <w:pPr>
        <w:pStyle w:val="Normal"/>
        <w:tabs>
          <w:tab w:val="clear" w:pos="708"/>
          <w:tab w:val="left" w:pos="3486" w:leader="none"/>
        </w:tabs>
        <w:suppressAutoHyphens w:val="true"/>
        <w:jc w:val="center"/>
        <w:rPr>
          <w:rFonts w:ascii="Century Gothic" w:hAnsi="Century Gothic" w:cs="Arial"/>
          <w:b/>
          <w:b/>
          <w:sz w:val="40"/>
        </w:rPr>
      </w:pPr>
      <w:r>
        <w:rPr>
          <w:rFonts w:cs="Arial" w:ascii="Century Gothic" w:hAnsi="Century Gothic"/>
          <w:b/>
          <w:sz w:val="40"/>
        </w:rPr>
        <w:t>NOTA DE PRENSA</w:t>
      </w:r>
    </w:p>
    <w:p>
      <w:pPr>
        <w:pStyle w:val="BodyText1"/>
        <w:spacing w:lineRule="auto" w:line="240" w:before="0" w:after="0"/>
        <w:ind w:left="-142" w:right="-147" w:hanging="0"/>
        <w:jc w:val="both"/>
        <w:rPr>
          <w:rStyle w:val="Ninguno"/>
          <w:rFonts w:ascii="Helvetica" w:hAnsi="Helvetica"/>
          <w:b/>
          <w:b/>
          <w:bCs/>
          <w:color w:val="auto"/>
          <w:szCs w:val="26"/>
          <w:lang w:val="es-ES"/>
        </w:rPr>
      </w:pPr>
      <w:r>
        <w:rPr>
          <w:rFonts w:ascii="Helvetica" w:hAnsi="Helvetica"/>
          <w:b/>
          <w:bCs/>
          <w:color w:val="auto"/>
          <w:szCs w:val="26"/>
          <w:lang w:val="es-ES"/>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rPr>
          <w:rFonts w:ascii="Helvetica" w:hAnsi="Helvetica" w:cs="Helvetica"/>
          <w:b/>
          <w:b/>
          <w:color w:val="FF0000"/>
          <w:sz w:val="26"/>
          <w:lang w:val="es-ES"/>
        </w:rPr>
      </w:pPr>
      <w:r>
        <w:rPr>
          <w:rFonts w:cs="Helvetica" w:ascii="Helvetica" w:hAnsi="Helvetica"/>
          <w:b/>
          <w:color w:val="FF0000"/>
          <w:sz w:val="26"/>
          <w:lang w:val="es-ES"/>
        </w:rPr>
        <w:t xml:space="preserve">EMBARGADA por </w:t>
      </w:r>
      <w:r>
        <w:rPr>
          <w:rFonts w:cs="Helvetica" w:ascii="Helvetica" w:hAnsi="Helvetica"/>
          <w:b/>
          <w:color w:val="FF0000"/>
          <w:sz w:val="26"/>
          <w:lang w:val="es-ES"/>
        </w:rPr>
        <w:t>Astronomy &amp; Astrophysics</w:t>
      </w:r>
      <w:r>
        <w:rPr>
          <w:rFonts w:cs="Helvetica" w:ascii="Helvetica" w:hAnsi="Helvetica"/>
          <w:b/>
          <w:color w:val="FF0000"/>
          <w:sz w:val="26"/>
          <w:lang w:val="es-ES"/>
        </w:rPr>
        <w:t xml:space="preserve">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rPr>
          <w:rFonts w:ascii="Helvetica" w:hAnsi="Helvetica" w:cs="Helvetica"/>
          <w:b/>
          <w:b/>
          <w:color w:val="FF0000"/>
          <w:sz w:val="26"/>
          <w:lang w:val="es-ES"/>
        </w:rPr>
      </w:pPr>
      <w:r>
        <w:rPr>
          <w:rFonts w:cs="Helvetica" w:ascii="Helvetica" w:hAnsi="Helvetica"/>
          <w:b/>
          <w:color w:val="FF0000"/>
          <w:sz w:val="26"/>
          <w:highlight w:val="yellow"/>
          <w:lang w:val="es-ES"/>
        </w:rPr>
        <w:t xml:space="preserve">FIN DEL EMBARGO – </w:t>
      </w:r>
      <w:r>
        <w:rPr>
          <w:rFonts w:cs="Helvetica" w:ascii="Helvetica" w:hAnsi="Helvetica"/>
          <w:b/>
          <w:color w:val="FF0000"/>
          <w:sz w:val="26"/>
          <w:highlight w:val="yellow"/>
          <w:lang w:val="es-ES"/>
        </w:rPr>
        <w:t>Miércoles</w:t>
      </w:r>
      <w:r>
        <w:rPr>
          <w:rFonts w:cs="Helvetica" w:ascii="Helvetica" w:hAnsi="Helvetica"/>
          <w:b/>
          <w:color w:val="FF0000"/>
          <w:sz w:val="26"/>
          <w:highlight w:val="yellow"/>
          <w:lang w:val="es-ES"/>
        </w:rPr>
        <w:t xml:space="preserve">, </w:t>
      </w:r>
      <w:r>
        <w:rPr>
          <w:rFonts w:cs="Helvetica" w:ascii="Helvetica" w:hAnsi="Helvetica"/>
          <w:b/>
          <w:color w:val="FF0000"/>
          <w:sz w:val="26"/>
          <w:highlight w:val="yellow"/>
          <w:lang w:val="es-ES"/>
        </w:rPr>
        <w:t>22</w:t>
      </w:r>
      <w:r>
        <w:rPr>
          <w:rFonts w:cs="Helvetica" w:ascii="Helvetica" w:hAnsi="Helvetica"/>
          <w:b/>
          <w:color w:val="FF0000"/>
          <w:sz w:val="26"/>
          <w:highlight w:val="yellow"/>
          <w:lang w:val="es-ES"/>
        </w:rPr>
        <w:t xml:space="preserve"> </w:t>
      </w:r>
      <w:r>
        <w:rPr>
          <w:rFonts w:cs="Helvetica" w:ascii="Helvetica" w:hAnsi="Helvetica"/>
          <w:b/>
          <w:color w:val="FF0000"/>
          <w:sz w:val="26"/>
          <w:highlight w:val="yellow"/>
          <w:lang w:val="es-ES"/>
        </w:rPr>
        <w:t>febrero</w:t>
      </w:r>
      <w:r>
        <w:rPr>
          <w:rFonts w:cs="Helvetica" w:ascii="Helvetica" w:hAnsi="Helvetica"/>
          <w:b/>
          <w:color w:val="FF0000"/>
          <w:sz w:val="26"/>
          <w:highlight w:val="yellow"/>
          <w:lang w:val="es-ES"/>
        </w:rPr>
        <w:t xml:space="preserve"> 2023 @ </w:t>
      </w:r>
      <w:r>
        <w:rPr>
          <w:rFonts w:cs="Helvetica" w:ascii="Helvetica" w:hAnsi="Helvetica"/>
          <w:b/>
          <w:color w:val="FF0000"/>
          <w:sz w:val="26"/>
          <w:highlight w:val="yellow"/>
          <w:lang w:val="es-ES"/>
        </w:rPr>
        <w:t>10</w:t>
      </w:r>
      <w:r>
        <w:rPr>
          <w:rFonts w:cs="Helvetica" w:ascii="Helvetica" w:hAnsi="Helvetica"/>
          <w:b/>
          <w:color w:val="FF0000"/>
          <w:sz w:val="26"/>
          <w:highlight w:val="yellow"/>
          <w:lang w:val="es-ES"/>
        </w:rPr>
        <w:t>:00 CET</w:t>
      </w:r>
    </w:p>
    <w:p>
      <w:pPr>
        <w:pStyle w:val="BodyText1"/>
        <w:spacing w:lineRule="auto" w:line="240" w:before="0" w:after="0"/>
        <w:ind w:left="-142" w:right="-147" w:hanging="0"/>
        <w:jc w:val="both"/>
        <w:rPr>
          <w:rStyle w:val="Ninguno"/>
          <w:rFonts w:ascii="Helvetica" w:hAnsi="Helvetica" w:cs="Helvetica"/>
          <w:b/>
          <w:b/>
          <w:bCs/>
          <w:color w:val="auto"/>
          <w:sz w:val="28"/>
          <w:szCs w:val="28"/>
          <w:lang w:val="es-ES"/>
        </w:rPr>
      </w:pPr>
      <w:r>
        <w:rPr>
          <w:rFonts w:cs="Helvetica" w:ascii="Helvetica" w:hAnsi="Helvetica"/>
          <w:b/>
          <w:bCs/>
          <w:color w:val="auto"/>
          <w:sz w:val="28"/>
          <w:szCs w:val="28"/>
          <w:lang w:val="es-ES"/>
        </w:rPr>
      </w:r>
    </w:p>
    <w:p>
      <w:pPr>
        <w:pStyle w:val="Normal1"/>
        <w:rPr>
          <w:sz w:val="40"/>
          <w:szCs w:val="40"/>
        </w:rPr>
      </w:pPr>
      <w:r>
        <w:rPr/>
      </w:r>
    </w:p>
    <w:p>
      <w:pPr>
        <w:pStyle w:val="Normal1"/>
        <w:rPr>
          <w:sz w:val="40"/>
          <w:szCs w:val="40"/>
        </w:rPr>
      </w:pPr>
      <w:r>
        <w:rPr>
          <w:sz w:val="40"/>
          <w:szCs w:val="40"/>
        </w:rPr>
        <w:t>El proyecto CARMENES multiplica el número de planetas conocidos en la vecindad solar</w:t>
      </w:r>
    </w:p>
    <w:p>
      <w:pPr>
        <w:pStyle w:val="Normal1"/>
        <w:rPr>
          <w:sz w:val="24"/>
          <w:szCs w:val="24"/>
        </w:rPr>
      </w:pPr>
      <w:r>
        <w:rPr>
          <w:sz w:val="24"/>
          <w:szCs w:val="24"/>
        </w:rPr>
        <w:t xml:space="preserve"> </w:t>
      </w:r>
    </w:p>
    <w:p>
      <w:pPr>
        <w:pStyle w:val="Normal1"/>
        <w:jc w:val="both"/>
        <w:rPr>
          <w:b/>
          <w:b/>
          <w:sz w:val="24"/>
          <w:szCs w:val="24"/>
        </w:rPr>
      </w:pPr>
      <w:r>
        <w:rPr>
          <w:b/>
          <w:sz w:val="24"/>
          <w:szCs w:val="24"/>
        </w:rPr>
        <w:t>Se hacen públicas 20.000 observaciones del telescopio de Calar Alto, que han hecho posible el descubrimiento de 59 planetas, algunos de ellos potencialmente habitables</w:t>
      </w:r>
    </w:p>
    <w:p>
      <w:pPr>
        <w:pStyle w:val="Normal1"/>
        <w:jc w:val="both"/>
        <w:rPr>
          <w:b/>
          <w:b/>
          <w:sz w:val="24"/>
          <w:szCs w:val="24"/>
        </w:rPr>
      </w:pPr>
      <w:r>
        <w:rPr>
          <w:b/>
          <w:sz w:val="24"/>
          <w:szCs w:val="24"/>
        </w:rPr>
      </w:r>
    </w:p>
    <w:p>
      <w:pPr>
        <w:pStyle w:val="Normal1"/>
        <w:jc w:val="both"/>
        <w:rPr>
          <w:b/>
          <w:b/>
          <w:sz w:val="24"/>
          <w:szCs w:val="24"/>
        </w:rPr>
      </w:pPr>
      <w:r>
        <w:rPr>
          <w:b/>
          <w:sz w:val="24"/>
          <w:szCs w:val="24"/>
        </w:rPr>
        <w:t>El estudio es fruto de un consorcio de instituciones españolas y alemanas</w:t>
      </w:r>
    </w:p>
    <w:p>
      <w:pPr>
        <w:pStyle w:val="Normal1"/>
        <w:jc w:val="both"/>
        <w:rPr>
          <w:b/>
          <w:b/>
          <w:sz w:val="24"/>
          <w:szCs w:val="24"/>
        </w:rPr>
      </w:pPr>
      <w:r>
        <w:rPr>
          <w:b/>
          <w:sz w:val="24"/>
          <w:szCs w:val="24"/>
        </w:rPr>
      </w:r>
    </w:p>
    <w:p>
      <w:pPr>
        <w:pStyle w:val="Normal1"/>
        <w:jc w:val="both"/>
        <w:rPr>
          <w:b/>
          <w:b/>
          <w:sz w:val="24"/>
          <w:szCs w:val="24"/>
        </w:rPr>
      </w:pPr>
      <w:r>
        <w:rPr>
          <w:b/>
          <w:sz w:val="24"/>
          <w:szCs w:val="24"/>
        </w:rPr>
        <w:t>El instrumento ha demostrado ser un éxito y continuará proporcionando información sobre estrellas frías pequeñas hasta al menos finales de 2023</w:t>
      </w:r>
    </w:p>
    <w:p>
      <w:pPr>
        <w:pStyle w:val="Normal1"/>
        <w:jc w:val="both"/>
        <w:rPr>
          <w:b/>
          <w:b/>
          <w:sz w:val="24"/>
          <w:szCs w:val="24"/>
        </w:rPr>
      </w:pPr>
      <w:r>
        <w:rPr>
          <w:b/>
          <w:sz w:val="24"/>
          <w:szCs w:val="24"/>
        </w:rPr>
      </w:r>
    </w:p>
    <w:p>
      <w:pPr>
        <w:pStyle w:val="Normal1"/>
        <w:jc w:val="both"/>
        <w:rPr>
          <w:sz w:val="24"/>
          <w:szCs w:val="24"/>
        </w:rPr>
      </w:pPr>
      <w:r>
        <w:rPr>
          <w:sz w:val="24"/>
          <w:szCs w:val="24"/>
        </w:rPr>
        <w:t xml:space="preserve"> </w:t>
      </w:r>
    </w:p>
    <w:p>
      <w:pPr>
        <w:pStyle w:val="Normal1"/>
        <w:jc w:val="both"/>
        <w:rPr/>
      </w:pPr>
      <w:r>
        <w:rPr>
          <w:color w:val="222222"/>
          <w:sz w:val="22"/>
          <w:szCs w:val="22"/>
          <w:highlight w:val="white"/>
        </w:rPr>
        <w:t xml:space="preserve">El proyecto </w:t>
      </w:r>
      <w:hyperlink r:id="rId2">
        <w:r>
          <w:rPr>
            <w:color w:val="1155CC"/>
            <w:sz w:val="22"/>
            <w:szCs w:val="22"/>
            <w:highlight w:val="white"/>
            <w:u w:val="single"/>
          </w:rPr>
          <w:t>CARMENES</w:t>
        </w:r>
      </w:hyperlink>
      <w:r>
        <w:rPr>
          <w:color w:val="222222"/>
          <w:sz w:val="22"/>
          <w:szCs w:val="22"/>
          <w:highlight w:val="white"/>
        </w:rPr>
        <w:t xml:space="preserve"> acaba de publicar los datos correspondientes a unas 20.000 observaciones tomadas entre 2016 y 2020 de una muestra de 362 estrellas frías cercanas. El proyecto, que se financia con fondos españoles y alemanes, emplea un instrumento construido en el </w:t>
      </w:r>
      <w:hyperlink r:id="rId3">
        <w:r>
          <w:rPr>
            <w:color w:val="1155CC"/>
            <w:sz w:val="22"/>
            <w:szCs w:val="22"/>
            <w:highlight w:val="white"/>
            <w:u w:val="single"/>
          </w:rPr>
          <w:t>Observatorio de Calar Alto</w:t>
        </w:r>
      </w:hyperlink>
      <w:r>
        <w:rPr>
          <w:color w:val="222222"/>
          <w:sz w:val="22"/>
          <w:szCs w:val="22"/>
          <w:highlight w:val="white"/>
        </w:rPr>
        <w:t xml:space="preserve"> con el propósito de encontrar exoplanetas similares a la Tierra (rocosos y templados), con posibilidad de albergar agua en su superficie si están situados en la llamada </w:t>
      </w:r>
      <w:r>
        <w:rPr>
          <w:color w:val="212529"/>
          <w:sz w:val="22"/>
          <w:szCs w:val="22"/>
          <w:highlight w:val="white"/>
        </w:rPr>
        <w:t>«</w:t>
      </w:r>
      <w:r>
        <w:rPr>
          <w:color w:val="222222"/>
          <w:sz w:val="22"/>
          <w:szCs w:val="22"/>
          <w:highlight w:val="white"/>
        </w:rPr>
        <w:t>zona habitable</w:t>
      </w:r>
      <w:r>
        <w:rPr>
          <w:color w:val="212529"/>
          <w:sz w:val="22"/>
          <w:szCs w:val="22"/>
          <w:highlight w:val="white"/>
        </w:rPr>
        <w:t>»</w:t>
      </w:r>
      <w:r>
        <w:rPr>
          <w:color w:val="222222"/>
          <w:sz w:val="22"/>
          <w:szCs w:val="22"/>
          <w:highlight w:val="white"/>
        </w:rPr>
        <w:t xml:space="preserve"> de su estrella. Entre la multitud de datos liberada, destacan los que han permitido el descubrimiento de 59 exoplanetas, una decena de los cuales son potencialmente habitables. El estudio se ha publicado en la revista especializada </w:t>
      </w:r>
      <w:r>
        <w:rPr>
          <w:i/>
          <w:color w:val="222222"/>
          <w:sz w:val="22"/>
          <w:szCs w:val="22"/>
          <w:highlight w:val="white"/>
        </w:rPr>
        <w:t>Astronomy &amp; Astrophysics</w:t>
      </w:r>
      <w:r>
        <w:rPr>
          <w:color w:val="222222"/>
          <w:sz w:val="22"/>
          <w:szCs w:val="22"/>
          <w:highlight w:val="white"/>
        </w:rPr>
        <w:t>.</w:t>
      </w:r>
    </w:p>
    <w:p>
      <w:pPr>
        <w:pStyle w:val="Normal1"/>
        <w:jc w:val="both"/>
        <w:rPr>
          <w:color w:val="222222"/>
          <w:sz w:val="22"/>
          <w:szCs w:val="22"/>
          <w:highlight w:val="white"/>
        </w:rPr>
      </w:pPr>
      <w:r>
        <w:rPr>
          <w:color w:val="222222"/>
          <w:sz w:val="22"/>
          <w:szCs w:val="22"/>
          <w:highlight w:val="white"/>
        </w:rPr>
      </w:r>
    </w:p>
    <w:p>
      <w:pPr>
        <w:pStyle w:val="Normal1"/>
        <w:jc w:val="both"/>
        <w:rPr/>
      </w:pPr>
      <w:r>
        <w:rPr>
          <w:color w:val="222222"/>
          <w:sz w:val="22"/>
          <w:szCs w:val="22"/>
          <w:highlight w:val="white"/>
        </w:rPr>
        <w:t xml:space="preserve">CARMENES es el nombre del proyecto científico, pero también del instrumento con el que se realizan las observaciones y del consorcio que se encargó de diseñarlo y construirlo. Más de 200 científicos e ingenieros de 11 instituciones españolas y alemanas dan vida al proyecto. El consorcio está formado por los siguientes centros de investigación: </w:t>
      </w:r>
      <w:r>
        <w:rPr>
          <w:sz w:val="22"/>
          <w:szCs w:val="22"/>
          <w:highlight w:val="white"/>
        </w:rPr>
        <w:t xml:space="preserve">el </w:t>
      </w:r>
      <w:hyperlink r:id="rId4">
        <w:r>
          <w:rPr>
            <w:color w:val="1155CC"/>
            <w:sz w:val="22"/>
            <w:szCs w:val="22"/>
            <w:highlight w:val="white"/>
            <w:u w:val="single"/>
          </w:rPr>
          <w:t>Max-Planck-Institut für Astronomie</w:t>
        </w:r>
      </w:hyperlink>
      <w:r>
        <w:rPr>
          <w:sz w:val="22"/>
          <w:szCs w:val="22"/>
          <w:highlight w:val="white"/>
        </w:rPr>
        <w:t xml:space="preserve"> (MPIA), el </w:t>
      </w:r>
      <w:hyperlink r:id="rId5">
        <w:r>
          <w:rPr>
            <w:color w:val="1155CC"/>
            <w:sz w:val="22"/>
            <w:szCs w:val="22"/>
            <w:highlight w:val="white"/>
            <w:u w:val="single"/>
          </w:rPr>
          <w:t>Instituto de Astrofísica de Andalucía</w:t>
        </w:r>
      </w:hyperlink>
      <w:r>
        <w:rPr>
          <w:sz w:val="22"/>
          <w:szCs w:val="22"/>
          <w:highlight w:val="white"/>
        </w:rPr>
        <w:t xml:space="preserve"> (IAA-CSIC), el </w:t>
      </w:r>
      <w:hyperlink r:id="rId6">
        <w:r>
          <w:rPr>
            <w:color w:val="1155CC"/>
            <w:sz w:val="22"/>
            <w:szCs w:val="22"/>
            <w:highlight w:val="white"/>
            <w:u w:val="single"/>
          </w:rPr>
          <w:t>Landessternwarte Königstuhl</w:t>
        </w:r>
      </w:hyperlink>
      <w:r>
        <w:rPr>
          <w:sz w:val="22"/>
          <w:szCs w:val="22"/>
          <w:highlight w:val="white"/>
        </w:rPr>
        <w:t xml:space="preserve"> (LSW), el </w:t>
      </w:r>
      <w:hyperlink r:id="rId7">
        <w:r>
          <w:rPr>
            <w:color w:val="1155CC"/>
            <w:sz w:val="22"/>
            <w:szCs w:val="22"/>
            <w:highlight w:val="white"/>
            <w:u w:val="single"/>
          </w:rPr>
          <w:t>Institut de Ciències de l’Espai</w:t>
        </w:r>
      </w:hyperlink>
      <w:r>
        <w:rPr>
          <w:sz w:val="22"/>
          <w:szCs w:val="22"/>
          <w:highlight w:val="white"/>
        </w:rPr>
        <w:t xml:space="preserve"> (ICE-CSIC), el </w:t>
      </w:r>
      <w:hyperlink r:id="rId8">
        <w:r>
          <w:rPr>
            <w:color w:val="1155CC"/>
            <w:sz w:val="22"/>
            <w:szCs w:val="22"/>
            <w:highlight w:val="white"/>
            <w:u w:val="single"/>
          </w:rPr>
          <w:t>Institut für Astrophysik Göttingen</w:t>
        </w:r>
      </w:hyperlink>
      <w:r>
        <w:rPr>
          <w:sz w:val="22"/>
          <w:szCs w:val="22"/>
          <w:highlight w:val="white"/>
        </w:rPr>
        <w:t xml:space="preserve"> (IAG), la </w:t>
      </w:r>
      <w:hyperlink r:id="rId9">
        <w:r>
          <w:rPr>
            <w:color w:val="1155CC"/>
            <w:sz w:val="22"/>
            <w:szCs w:val="22"/>
            <w:highlight w:val="white"/>
            <w:u w:val="single"/>
          </w:rPr>
          <w:t>Universidad Complutense de Madrid</w:t>
        </w:r>
      </w:hyperlink>
      <w:r>
        <w:rPr>
          <w:sz w:val="22"/>
          <w:szCs w:val="22"/>
          <w:highlight w:val="white"/>
        </w:rPr>
        <w:t xml:space="preserve"> (UCM), el </w:t>
      </w:r>
      <w:hyperlink r:id="rId10">
        <w:r>
          <w:rPr>
            <w:color w:val="1155CC"/>
            <w:sz w:val="22"/>
            <w:szCs w:val="22"/>
            <w:highlight w:val="white"/>
            <w:u w:val="single"/>
          </w:rPr>
          <w:t>Thüringer Landessternwarte Tautenburg</w:t>
        </w:r>
      </w:hyperlink>
      <w:r>
        <w:rPr>
          <w:sz w:val="22"/>
          <w:szCs w:val="22"/>
          <w:highlight w:val="white"/>
        </w:rPr>
        <w:t xml:space="preserve"> (TLS), el </w:t>
      </w:r>
      <w:hyperlink r:id="rId11">
        <w:r>
          <w:rPr>
            <w:color w:val="1155CC"/>
            <w:sz w:val="22"/>
            <w:szCs w:val="22"/>
            <w:highlight w:val="white"/>
            <w:u w:val="single"/>
          </w:rPr>
          <w:t>Instituto de Astrofísica de Canarias</w:t>
        </w:r>
      </w:hyperlink>
      <w:r>
        <w:rPr>
          <w:sz w:val="22"/>
          <w:szCs w:val="22"/>
          <w:highlight w:val="white"/>
        </w:rPr>
        <w:t xml:space="preserve"> (IAC), el </w:t>
      </w:r>
      <w:hyperlink r:id="rId12">
        <w:r>
          <w:rPr>
            <w:color w:val="1155CC"/>
            <w:sz w:val="22"/>
            <w:szCs w:val="22"/>
            <w:highlight w:val="white"/>
            <w:u w:val="single"/>
          </w:rPr>
          <w:t>Hamburger Sternwarte</w:t>
        </w:r>
      </w:hyperlink>
      <w:r>
        <w:rPr>
          <w:sz w:val="22"/>
          <w:szCs w:val="22"/>
          <w:highlight w:val="white"/>
        </w:rPr>
        <w:t xml:space="preserve"> (HS), el </w:t>
      </w:r>
      <w:hyperlink r:id="rId13">
        <w:r>
          <w:rPr>
            <w:b/>
            <w:bCs/>
            <w:color w:val="1155CC"/>
            <w:sz w:val="22"/>
            <w:szCs w:val="22"/>
            <w:highlight w:val="white"/>
            <w:u w:val="single"/>
          </w:rPr>
          <w:t>Centro de Astrobiología</w:t>
        </w:r>
      </w:hyperlink>
      <w:r>
        <w:rPr>
          <w:b/>
          <w:bCs/>
          <w:sz w:val="22"/>
          <w:szCs w:val="22"/>
          <w:highlight w:val="white"/>
        </w:rPr>
        <w:t xml:space="preserve"> (CAB, CSIC-INTA)</w:t>
      </w:r>
      <w:r>
        <w:rPr>
          <w:sz w:val="22"/>
          <w:szCs w:val="22"/>
          <w:highlight w:val="white"/>
        </w:rPr>
        <w:t xml:space="preserve"> y el </w:t>
      </w:r>
      <w:hyperlink r:id="rId14">
        <w:r>
          <w:rPr>
            <w:color w:val="1155CC"/>
            <w:sz w:val="22"/>
            <w:szCs w:val="22"/>
            <w:highlight w:val="white"/>
            <w:u w:val="single"/>
          </w:rPr>
          <w:t>Centro Astronómico Hispano-Alemán</w:t>
        </w:r>
      </w:hyperlink>
      <w:hyperlink r:id="rId15">
        <w:r>
          <w:rPr>
            <w:sz w:val="22"/>
            <w:szCs w:val="22"/>
            <w:highlight w:val="white"/>
          </w:rPr>
          <w:t xml:space="preserve"> </w:t>
        </w:r>
      </w:hyperlink>
      <w:r>
        <w:rPr>
          <w:sz w:val="22"/>
          <w:szCs w:val="22"/>
          <w:highlight w:val="white"/>
        </w:rPr>
        <w:t>(CAHA).</w:t>
      </w:r>
      <w:r>
        <w:rPr>
          <w:color w:val="222222"/>
          <w:sz w:val="22"/>
          <w:szCs w:val="22"/>
          <w:highlight w:val="white"/>
        </w:rPr>
        <w:t xml:space="preserve"> El </w:t>
      </w:r>
      <w:r>
        <w:rPr>
          <w:sz w:val="22"/>
          <w:szCs w:val="22"/>
          <w:highlight w:val="white"/>
        </w:rPr>
        <w:t xml:space="preserve">Dr. Ignasi Ribas, investigador del ICE-CSIC y director del </w:t>
      </w:r>
      <w:hyperlink r:id="rId16">
        <w:r>
          <w:rPr>
            <w:color w:val="1155CC"/>
            <w:sz w:val="22"/>
            <w:szCs w:val="22"/>
            <w:highlight w:val="white"/>
            <w:u w:val="single"/>
          </w:rPr>
          <w:t>Institut d’Estudis Espacials de Catalunya</w:t>
        </w:r>
      </w:hyperlink>
      <w:r>
        <w:rPr>
          <w:color w:val="222222"/>
          <w:sz w:val="22"/>
          <w:szCs w:val="22"/>
          <w:highlight w:val="white"/>
        </w:rPr>
        <w:t xml:space="preserve"> (IEEC),</w:t>
      </w:r>
      <w:r>
        <w:rPr>
          <w:sz w:val="22"/>
          <w:szCs w:val="22"/>
          <w:highlight w:val="white"/>
        </w:rPr>
        <w:t xml:space="preserve"> </w:t>
      </w:r>
      <w:r>
        <w:rPr>
          <w:color w:val="222222"/>
          <w:sz w:val="22"/>
          <w:szCs w:val="22"/>
          <w:highlight w:val="white"/>
        </w:rPr>
        <w:t>es el primer autor de este trabajo recién publicado, que involucra a un centenar de expertos de más de 30 centros de investigación.</w:t>
      </w:r>
    </w:p>
    <w:p>
      <w:pPr>
        <w:pStyle w:val="Normal1"/>
        <w:jc w:val="both"/>
        <w:rPr>
          <w:color w:val="222222"/>
          <w:sz w:val="22"/>
          <w:szCs w:val="22"/>
          <w:highlight w:val="white"/>
        </w:rPr>
      </w:pPr>
      <w:r>
        <w:rPr>
          <w:color w:val="222222"/>
          <w:sz w:val="22"/>
          <w:szCs w:val="22"/>
          <w:highlight w:val="white"/>
        </w:rPr>
      </w:r>
    </w:p>
    <w:p>
      <w:pPr>
        <w:pStyle w:val="Normal1"/>
        <w:jc w:val="both"/>
        <w:rPr>
          <w:sz w:val="22"/>
          <w:szCs w:val="22"/>
        </w:rPr>
      </w:pPr>
      <w:r>
        <w:rPr>
          <w:color w:val="222222"/>
          <w:sz w:val="22"/>
          <w:szCs w:val="22"/>
          <w:highlight w:val="white"/>
        </w:rPr>
        <w:t>El instrumento CARMENES es un espectrógrafo que opera en el óptico y el infrarrojo cercano, es decir, un aparato que mide tanto la luz visible como la infrarroja de los objetos hacia los que apunta. Se instaló en 2015 en el Observatorio de Calar Alto con el objetivo de encontrar exoplanetas de tipo terrestre en estrellas frías cercanas (las llamadas enanas rojas). La luz recogida de una estrella determinada (el espectro estelar) puede delatar la presencia de exoplanetas, ya que permite medir los pequeños movimientos de la estrella producidos por la atracción gravitatoria de los planetas que la orbitan. Los espectros de alta resolución que se obtienen con CARMENES sirven para determinar la velocidad de la estrella con una precisión de un metro por segundo, lo cual representa un reto tecnológico de primer nivel. Esto permite encontrar planetas pequeños alrededor de estrellas de baja masa.</w:t>
      </w:r>
    </w:p>
    <w:p>
      <w:pPr>
        <w:pStyle w:val="Normal1"/>
        <w:jc w:val="both"/>
        <w:rPr>
          <w:color w:val="222222"/>
          <w:sz w:val="22"/>
          <w:szCs w:val="22"/>
          <w:highlight w:val="white"/>
        </w:rPr>
      </w:pPr>
      <w:r>
        <w:rPr>
          <w:color w:val="222222"/>
          <w:sz w:val="22"/>
          <w:szCs w:val="22"/>
          <w:highlight w:val="white"/>
        </w:rPr>
      </w:r>
    </w:p>
    <w:p>
      <w:pPr>
        <w:pStyle w:val="Normal1"/>
        <w:jc w:val="both"/>
        <w:rPr>
          <w:sz w:val="22"/>
          <w:szCs w:val="22"/>
        </w:rPr>
      </w:pPr>
      <w:r>
        <w:rPr>
          <w:color w:val="212529"/>
          <w:sz w:val="22"/>
          <w:szCs w:val="22"/>
          <w:highlight w:val="white"/>
        </w:rPr>
        <w:t>«</w:t>
      </w:r>
      <w:r>
        <w:rPr>
          <w:color w:val="222222"/>
          <w:sz w:val="22"/>
          <w:szCs w:val="22"/>
          <w:highlight w:val="white"/>
        </w:rPr>
        <w:t>Desde que entró en funcionamiento, CARMENES ha reanalizado 17 planetas conocidos y ha descubierto y confirmado 59 nuevos planetas en la vecindad de nuestro Sistema Solar, contribuyendo notablemente a ampliar el censo de exoplanetas próximos</w:t>
      </w:r>
      <w:r>
        <w:rPr>
          <w:color w:val="212529"/>
          <w:sz w:val="22"/>
          <w:szCs w:val="22"/>
          <w:highlight w:val="white"/>
        </w:rPr>
        <w:t>»</w:t>
      </w:r>
      <w:r>
        <w:rPr>
          <w:color w:val="222222"/>
          <w:sz w:val="22"/>
          <w:szCs w:val="22"/>
          <w:highlight w:val="white"/>
        </w:rPr>
        <w:t xml:space="preserve">, explica Ignasi Ribas. De hecho, este instrumento ha </w:t>
      </w:r>
      <w:r>
        <w:rPr>
          <w:color w:val="222222"/>
          <w:sz w:val="22"/>
          <w:szCs w:val="22"/>
        </w:rPr>
        <w:t>multiplicado</w:t>
      </w:r>
      <w:r>
        <w:rPr>
          <w:color w:val="222222"/>
          <w:sz w:val="22"/>
          <w:szCs w:val="22"/>
          <w:highlight w:val="white"/>
        </w:rPr>
        <w:t xml:space="preserve"> el número de exoplanetas que conocemos alrededor de estrellas frías cercanas, doblando los detectados con el método previamente expuesto. Es de esperar que, con la publicación de este primer gran conjunto de datos, la comunidad investigadora se lance a analizarlos y se pueda incrementar aún más su producción científica. Cabe destacar que con CARMENES se han observado prácticamente la mitad de todas las estrellas pequeñas cercanas (una parte de ellas solo puede observarse desde el hemisferio sur). Además, los espectros obtenidos también proporcionan información valiosísima sobre las atmósferas de las estrellas y de sus planetas, entre otras características.</w:t>
      </w:r>
    </w:p>
    <w:p>
      <w:pPr>
        <w:pStyle w:val="Normal1"/>
        <w:jc w:val="both"/>
        <w:rPr>
          <w:color w:val="222222"/>
          <w:sz w:val="22"/>
          <w:szCs w:val="22"/>
          <w:highlight w:val="white"/>
        </w:rPr>
      </w:pPr>
      <w:r>
        <w:rPr>
          <w:color w:val="222222"/>
          <w:sz w:val="22"/>
          <w:szCs w:val="22"/>
          <w:highlight w:val="white"/>
        </w:rPr>
      </w:r>
    </w:p>
    <w:p>
      <w:pPr>
        <w:pStyle w:val="Normal1"/>
        <w:jc w:val="both"/>
        <w:rPr>
          <w:sz w:val="22"/>
          <w:szCs w:val="22"/>
        </w:rPr>
      </w:pPr>
      <w:r>
        <w:rPr>
          <w:color w:val="222222"/>
          <w:sz w:val="22"/>
          <w:szCs w:val="22"/>
          <w:highlight w:val="white"/>
        </w:rPr>
        <w:t xml:space="preserve">El artículo publicado en </w:t>
      </w:r>
      <w:r>
        <w:rPr>
          <w:i/>
          <w:color w:val="222222"/>
          <w:sz w:val="22"/>
          <w:szCs w:val="22"/>
          <w:highlight w:val="white"/>
        </w:rPr>
        <w:t>Astronomy &amp; Astrophysics</w:t>
      </w:r>
      <w:r>
        <w:rPr>
          <w:color w:val="222222"/>
          <w:sz w:val="22"/>
          <w:szCs w:val="22"/>
          <w:highlight w:val="white"/>
        </w:rPr>
        <w:t xml:space="preserve"> es precisamente el número 100 del consorcio CARMENES, lo cual muestra el éxito que ha logrado el proyecto proporcionando información sobre exoplanetas parecidos a la Tierra y sus estrellas. En este estudio se han liberado los datos correspondientes a la información obtenida con luz visible; los expertos aún están mejorando el procesado de los datos obtenidos en el infrarrojo, con lo que, cuando se publiquen, los astrónomos tendrán un segundo gran conjunto de observaciones sobre las que trabajar.</w:t>
      </w:r>
    </w:p>
    <w:p>
      <w:pPr>
        <w:pStyle w:val="Normal1"/>
        <w:jc w:val="both"/>
        <w:rPr>
          <w:sz w:val="22"/>
          <w:szCs w:val="22"/>
        </w:rPr>
      </w:pPr>
      <w:r>
        <w:rPr>
          <w:color w:val="222222"/>
          <w:sz w:val="22"/>
          <w:szCs w:val="22"/>
          <w:highlight w:val="white"/>
        </w:rPr>
        <w:t xml:space="preserve"> </w:t>
      </w:r>
    </w:p>
    <w:p>
      <w:pPr>
        <w:pStyle w:val="Normal1"/>
        <w:jc w:val="both"/>
        <w:rPr>
          <w:sz w:val="22"/>
          <w:szCs w:val="22"/>
        </w:rPr>
      </w:pPr>
      <w:r>
        <w:rPr>
          <w:color w:val="222222"/>
          <w:sz w:val="22"/>
          <w:szCs w:val="22"/>
          <w:highlight w:val="white"/>
        </w:rPr>
        <w:t xml:space="preserve">El proyecto CARMENES tiene su continuidad en CARMENES Legacy-Plus, que se inició en 2021 y continúa tomando más observaciones sobre las mismas estrellas. </w:t>
      </w:r>
      <w:r>
        <w:rPr>
          <w:color w:val="212529"/>
          <w:sz w:val="22"/>
          <w:szCs w:val="22"/>
          <w:highlight w:val="white"/>
        </w:rPr>
        <w:t>«</w:t>
      </w:r>
      <w:r>
        <w:rPr>
          <w:color w:val="222222"/>
          <w:sz w:val="22"/>
          <w:szCs w:val="22"/>
          <w:highlight w:val="white"/>
        </w:rPr>
        <w:t>Para poder determinar la existencia de planetas alrededor de una estrella, la observamos un mínimo de 50 veces. Aunque la primera ronda de datos ya se ha publicado para que la comunidad científica pueda acceder a ellos, estas series de observaciones aún no han concluido</w:t>
      </w:r>
      <w:r>
        <w:rPr>
          <w:color w:val="212529"/>
          <w:sz w:val="22"/>
          <w:szCs w:val="22"/>
          <w:highlight w:val="white"/>
        </w:rPr>
        <w:t>»</w:t>
      </w:r>
      <w:r>
        <w:rPr>
          <w:color w:val="222222"/>
          <w:sz w:val="22"/>
          <w:szCs w:val="22"/>
          <w:highlight w:val="white"/>
        </w:rPr>
        <w:t xml:space="preserve">, explica Juan Carlos Morales, investigador del IEEC en el ICE-CSIC. Las observaciones realizadas en esta extensión del proyecto continuarán al menos hasta finales de 2023. </w:t>
      </w:r>
    </w:p>
    <w:p>
      <w:pPr>
        <w:pStyle w:val="Normal1"/>
        <w:jc w:val="both"/>
        <w:rPr>
          <w:color w:val="222222"/>
          <w:highlight w:val="white"/>
        </w:rPr>
      </w:pPr>
      <w:r>
        <w:rPr>
          <w:sz w:val="22"/>
          <w:szCs w:val="22"/>
        </w:rPr>
      </w:r>
    </w:p>
    <w:p>
      <w:pPr>
        <w:pStyle w:val="Normal1"/>
        <w:jc w:val="both"/>
        <w:rPr>
          <w:sz w:val="22"/>
          <w:szCs w:val="22"/>
        </w:rPr>
      </w:pPr>
      <w:r>
        <w:rPr>
          <w:color w:val="222222"/>
          <w:sz w:val="22"/>
          <w:szCs w:val="22"/>
          <w:highlight w:val="white"/>
        </w:rPr>
        <w:t xml:space="preserve">Todos los datos de esta primera liberación, incluidos los espectros reducidos, las velocidades radiales o los periodogramas, están disponibles desde hoy en el Archivo de Datos de CARMENES, diseñado y mantenido por el Centro de Astrobiología (CSIC-INTA). Según José Antonio Caballero, investigador de </w:t>
      </w:r>
      <w:r>
        <w:rPr>
          <w:color w:val="222222"/>
          <w:sz w:val="22"/>
          <w:szCs w:val="22"/>
          <w:highlight w:val="white"/>
        </w:rPr>
        <w:t>este centro y astrónomo del instrumento CARMENES</w:t>
      </w:r>
      <w:r>
        <w:rPr>
          <w:color w:val="222222"/>
          <w:sz w:val="22"/>
          <w:szCs w:val="22"/>
          <w:highlight w:val="white"/>
        </w:rPr>
        <w:t xml:space="preserve">, aún no se es </w:t>
      </w:r>
      <w:r>
        <w:rPr>
          <w:color w:val="222222"/>
          <w:sz w:val="22"/>
          <w:szCs w:val="22"/>
          <w:highlight w:val="white"/>
        </w:rPr>
        <w:t xml:space="preserve">completamente </w:t>
      </w:r>
      <w:r>
        <w:rPr>
          <w:color w:val="222222"/>
          <w:sz w:val="22"/>
          <w:szCs w:val="22"/>
          <w:highlight w:val="white"/>
        </w:rPr>
        <w:t xml:space="preserve">consciente de la cantidad y calidad de esta colección de resultados. Quizá nuestros descendientes, dentro de varios siglos, se den cuenta de ello cuando viajen a los mundos habitables más cercanos al Sol y </w:t>
      </w:r>
      <w:r>
        <w:rPr>
          <w:color w:val="222222"/>
          <w:sz w:val="22"/>
          <w:szCs w:val="22"/>
          <w:highlight w:val="white"/>
        </w:rPr>
        <w:t>recuerden que estos fueron descubiertos a principios del siglo XXI por un equipo hispanoalemán de poético nombre.</w:t>
      </w:r>
    </w:p>
    <w:p>
      <w:pPr>
        <w:pStyle w:val="Normal1"/>
        <w:jc w:val="both"/>
        <w:rPr>
          <w:color w:val="222222"/>
          <w:sz w:val="22"/>
          <w:szCs w:val="22"/>
          <w:highlight w:val="white"/>
        </w:rPr>
      </w:pPr>
      <w:r>
        <w:rPr>
          <w:color w:val="222222"/>
          <w:sz w:val="22"/>
          <w:szCs w:val="22"/>
          <w:highlight w:val="white"/>
        </w:rPr>
      </w:r>
    </w:p>
    <w:p>
      <w:pPr>
        <w:pStyle w:val="Normal1"/>
        <w:jc w:val="both"/>
        <w:rPr>
          <w:sz w:val="22"/>
          <w:szCs w:val="22"/>
        </w:rPr>
      </w:pPr>
      <w:r>
        <w:rPr>
          <w:i/>
          <w:color w:val="222222"/>
          <w:sz w:val="22"/>
          <w:szCs w:val="22"/>
        </w:rPr>
        <w:t>Nota de prensa hecha en colaboración con las Oficinas de Comunicación del Instituto de Ciencias del Espacio (ICE-CSIC), el Centro de Astrobiología (CAB, CSIC-INTA), el Instituto de Astrofísica de Andalucía (IAA-CSIC), el Instituto de Astrofísica de Canarias (IAC) y la Universidad Complutense de Madrid (UCM).</w:t>
      </w:r>
    </w:p>
    <w:p>
      <w:pPr>
        <w:pStyle w:val="Normal1"/>
        <w:jc w:val="both"/>
        <w:rPr>
          <w:i/>
          <w:i/>
          <w:color w:val="222222"/>
          <w:sz w:val="22"/>
          <w:szCs w:val="22"/>
        </w:rPr>
      </w:pPr>
      <w:r>
        <w:rPr>
          <w:i/>
          <w:color w:val="222222"/>
          <w:sz w:val="22"/>
          <w:szCs w:val="22"/>
        </w:rPr>
      </w:r>
    </w:p>
    <w:p>
      <w:pPr>
        <w:pStyle w:val="Normal1"/>
        <w:shd w:val="clear" w:fill="FFFFFF"/>
        <w:spacing w:lineRule="auto" w:line="240" w:before="220" w:after="200"/>
        <w:jc w:val="both"/>
        <w:rPr>
          <w:sz w:val="22"/>
          <w:szCs w:val="22"/>
        </w:rPr>
      </w:pPr>
      <w:r>
        <w:rPr>
          <w:b/>
          <w:sz w:val="22"/>
          <w:szCs w:val="22"/>
        </w:rPr>
        <w:t>Imagen Principal</w:t>
      </w:r>
    </w:p>
    <w:p>
      <w:pPr>
        <w:pStyle w:val="Normal1"/>
        <w:shd w:val="clear" w:fill="FFFFFF"/>
        <w:spacing w:lineRule="auto" w:line="240" w:before="220" w:after="200"/>
        <w:jc w:val="both"/>
        <w:rPr>
          <w:sz w:val="22"/>
          <w:szCs w:val="22"/>
        </w:rPr>
      </w:pPr>
      <w:hyperlink r:id="rId17">
        <w:r>
          <w:rPr>
            <w:rStyle w:val="InternetLink"/>
            <w:b/>
            <w:sz w:val="22"/>
            <w:szCs w:val="22"/>
          </w:rPr>
          <w:t>https://carmenes.caha.es/ext/pressreleases/DR1/DR1.es.gif</w:t>
        </w:r>
      </w:hyperlink>
      <w:hyperlink r:id="rId18">
        <w:r>
          <w:rPr>
            <w:b/>
            <w:sz w:val="22"/>
            <w:szCs w:val="22"/>
          </w:rPr>
          <w:t xml:space="preserve"> </w:t>
        </w:r>
      </w:hyperlink>
    </w:p>
    <w:p>
      <w:pPr>
        <w:pStyle w:val="Normal1"/>
        <w:jc w:val="both"/>
        <w:rPr>
          <w:sz w:val="22"/>
          <w:szCs w:val="22"/>
        </w:rPr>
      </w:pPr>
      <w:r>
        <w:rPr>
          <w:b/>
          <w:sz w:val="22"/>
          <w:szCs w:val="22"/>
        </w:rPr>
        <w:t>PLANETAS DE CARMENES</w:t>
      </w:r>
    </w:p>
    <w:p>
      <w:pPr>
        <w:pStyle w:val="Normal1"/>
        <w:jc w:val="both"/>
        <w:rPr>
          <w:sz w:val="22"/>
          <w:szCs w:val="22"/>
        </w:rPr>
      </w:pPr>
      <w:r>
        <w:rPr>
          <w:sz w:val="22"/>
          <w:szCs w:val="22"/>
        </w:rPr>
        <w:t xml:space="preserve">Leyenda: En la imagen se muestran como puntos grises todos los planetas descubiertos con el mismo método que CARMENES, pero con otros instrumentos. Con los datos recogidos en el período 2016-2020, CARMENES ha descubierto y confirmado 6 planetas ‘tipo Júpiter’ (con masas más de 50 veces la de la Tierra), 10 ‘Neptunos’ (de 10 a 50 masas terrestres) y 43 Tierras y supertierras (hasta 10 masas terrestres). El eje vertical muestra el tipo de estrella sobre la que los planetas orbitan, desde las enanas rojas más frías y pequeñas hasta estrellas más brillantes y calientes (el Sol correspondería a la segunda desde arriba). El eje horizontal da una idea de la </w:t>
      </w:r>
      <w:r>
        <w:rPr>
          <w:sz w:val="22"/>
          <w:szCs w:val="22"/>
        </w:rPr>
        <w:t>separación</w:t>
      </w:r>
      <w:r>
        <w:rPr>
          <w:sz w:val="22"/>
          <w:szCs w:val="22"/>
        </w:rPr>
        <w:t xml:space="preserve"> del planeta a la estrella, al mostrar el tiempo que tardan en completar la órbita. Los planetas que se encuentran en la zona habitable (indicada por la franja azul) pueden albergar agua líquida en la superficie.</w:t>
      </w:r>
    </w:p>
    <w:p>
      <w:pPr>
        <w:pStyle w:val="Normal1"/>
        <w:jc w:val="both"/>
        <w:rPr>
          <w:sz w:val="22"/>
          <w:szCs w:val="22"/>
        </w:rPr>
      </w:pPr>
      <w:r>
        <w:rPr>
          <w:sz w:val="22"/>
          <w:szCs w:val="22"/>
        </w:rPr>
        <w:t>Crédito: Institut d’Estudis Espacials de Catalunya (IEEC)</w:t>
      </w:r>
    </w:p>
    <w:p>
      <w:pPr>
        <w:pStyle w:val="Normal1"/>
        <w:jc w:val="both"/>
        <w:rPr>
          <w:b/>
          <w:b/>
          <w:color w:val="222222"/>
          <w:highlight w:val="white"/>
        </w:rPr>
      </w:pPr>
      <w:r>
        <w:rPr>
          <w:b/>
          <w:color w:val="222222"/>
          <w:highlight w:val="white"/>
        </w:rPr>
      </w:r>
    </w:p>
    <w:p>
      <w:pPr>
        <w:pStyle w:val="Normal1"/>
        <w:jc w:val="both"/>
        <w:rPr>
          <w:b/>
          <w:b/>
          <w:color w:val="222222"/>
          <w:sz w:val="24"/>
          <w:szCs w:val="24"/>
          <w:highlight w:val="white"/>
        </w:rPr>
      </w:pPr>
      <w:r>
        <w:rPr>
          <w:b/>
          <w:color w:val="222222"/>
          <w:sz w:val="24"/>
          <w:szCs w:val="24"/>
          <w:highlight w:val="white"/>
        </w:rPr>
        <w:t>Enlaces</w:t>
      </w:r>
    </w:p>
    <w:p>
      <w:pPr>
        <w:pStyle w:val="Normal1"/>
        <w:jc w:val="both"/>
        <w:rPr>
          <w:color w:val="222222"/>
          <w:highlight w:val="white"/>
        </w:rPr>
      </w:pPr>
      <w:r>
        <w:rPr>
          <w:color w:val="222222"/>
          <w:highlight w:val="white"/>
        </w:rPr>
      </w:r>
    </w:p>
    <w:p>
      <w:pPr>
        <w:pStyle w:val="Normal1"/>
        <w:jc w:val="both"/>
        <w:rPr>
          <w:color w:val="222222"/>
          <w:highlight w:val="white"/>
        </w:rPr>
      </w:pPr>
      <w:r>
        <w:rPr>
          <w:color w:val="222222"/>
          <w:highlight w:val="white"/>
        </w:rPr>
        <w:t xml:space="preserve">- </w:t>
      </w:r>
      <w:hyperlink r:id="rId19">
        <w:r>
          <w:rPr>
            <w:color w:val="1155CC"/>
            <w:highlight w:val="white"/>
            <w:u w:val="single"/>
          </w:rPr>
          <w:t>CARMENES</w:t>
        </w:r>
      </w:hyperlink>
    </w:p>
    <w:p>
      <w:pPr>
        <w:pStyle w:val="Normal1"/>
        <w:jc w:val="both"/>
        <w:rPr>
          <w:color w:val="222222"/>
          <w:highlight w:val="white"/>
        </w:rPr>
      </w:pPr>
      <w:r>
        <w:rPr>
          <w:color w:val="222222"/>
          <w:highlight w:val="white"/>
        </w:rPr>
        <w:t xml:space="preserve">- </w:t>
      </w:r>
      <w:hyperlink r:id="rId20">
        <w:r>
          <w:rPr>
            <w:color w:val="1155CC"/>
            <w:highlight w:val="white"/>
            <w:u w:val="single"/>
          </w:rPr>
          <w:t>Observatorio de Calar Alto</w:t>
        </w:r>
      </w:hyperlink>
    </w:p>
    <w:p>
      <w:pPr>
        <w:pStyle w:val="Normal1"/>
        <w:jc w:val="both"/>
        <w:rPr>
          <w:color w:val="222222"/>
          <w:highlight w:val="white"/>
        </w:rPr>
      </w:pPr>
      <w:r>
        <w:rPr>
          <w:color w:val="222222"/>
          <w:highlight w:val="white"/>
        </w:rPr>
        <w:t xml:space="preserve">- </w:t>
      </w:r>
      <w:hyperlink r:id="rId21">
        <w:r>
          <w:rPr>
            <w:rStyle w:val="InternetLink"/>
            <w:color w:val="1155CC"/>
            <w:highlight w:val="white"/>
            <w:u w:val="single"/>
          </w:rPr>
          <w:t>CAB</w:t>
        </w:r>
      </w:hyperlink>
    </w:p>
    <w:p>
      <w:pPr>
        <w:pStyle w:val="Normal1"/>
        <w:jc w:val="both"/>
        <w:rPr>
          <w:color w:val="222222"/>
          <w:highlight w:val="white"/>
        </w:rPr>
      </w:pPr>
      <w:r>
        <w:rPr>
          <w:color w:val="222222"/>
          <w:sz w:val="24"/>
          <w:szCs w:val="24"/>
          <w:highlight w:val="white"/>
        </w:rPr>
        <w:t xml:space="preserve">- </w:t>
      </w:r>
      <w:hyperlink r:id="rId22">
        <w:r>
          <w:rPr>
            <w:rStyle w:val="InternetLink"/>
            <w:color w:val="222222"/>
            <w:sz w:val="22"/>
            <w:szCs w:val="22"/>
            <w:highlight w:val="white"/>
          </w:rPr>
          <w:t>¡Tierra a la vista!</w:t>
        </w:r>
      </w:hyperlink>
      <w:r>
        <w:rPr>
          <w:color w:val="222222"/>
          <w:sz w:val="22"/>
          <w:szCs w:val="22"/>
          <w:highlight w:val="white"/>
        </w:rPr>
        <w:t xml:space="preserve"> </w:t>
      </w:r>
      <w:r>
        <w:rPr>
          <w:b w:val="false"/>
          <w:bCs w:val="false"/>
          <w:color w:val="222222"/>
          <w:sz w:val="22"/>
          <w:szCs w:val="22"/>
          <w:highlight w:val="white"/>
        </w:rPr>
        <w:t>(crédit</w:t>
      </w:r>
      <w:r>
        <w:rPr>
          <w:b w:val="false"/>
          <w:bCs w:val="false"/>
          <w:color w:val="222222"/>
          <w:sz w:val="22"/>
          <w:szCs w:val="22"/>
          <w:highlight w:val="white"/>
        </w:rPr>
        <w:t>o</w:t>
      </w:r>
      <w:r>
        <w:rPr>
          <w:b w:val="false"/>
          <w:bCs w:val="false"/>
          <w:color w:val="222222"/>
          <w:sz w:val="22"/>
          <w:szCs w:val="22"/>
          <w:highlight w:val="white"/>
        </w:rPr>
        <w:t>: Caballero/RenderArea)</w:t>
      </w:r>
    </w:p>
    <w:p>
      <w:pPr>
        <w:pStyle w:val="Normal1"/>
        <w:jc w:val="both"/>
        <w:rPr>
          <w:b/>
          <w:b/>
          <w:color w:val="222222"/>
          <w:sz w:val="24"/>
          <w:szCs w:val="24"/>
          <w:highlight w:val="white"/>
        </w:rPr>
      </w:pPr>
      <w:r>
        <w:rPr/>
      </w:r>
    </w:p>
    <w:p>
      <w:pPr>
        <w:pStyle w:val="Normal1"/>
        <w:jc w:val="both"/>
        <w:rPr>
          <w:b/>
          <w:b/>
          <w:color w:val="222222"/>
          <w:sz w:val="24"/>
          <w:szCs w:val="24"/>
          <w:highlight w:val="white"/>
        </w:rPr>
      </w:pPr>
      <w:r>
        <w:rPr>
          <w:b/>
          <w:color w:val="222222"/>
          <w:sz w:val="24"/>
          <w:szCs w:val="24"/>
          <w:highlight w:val="white"/>
        </w:rPr>
        <w:t>Más información</w:t>
      </w:r>
    </w:p>
    <w:p>
      <w:pPr>
        <w:pStyle w:val="Normal1"/>
        <w:tabs>
          <w:tab w:val="clear" w:pos="708"/>
          <w:tab w:val="left" w:pos="3486" w:leader="none"/>
        </w:tabs>
        <w:spacing w:lineRule="auto" w:line="240" w:before="0" w:after="0"/>
        <w:ind w:right="-147" w:hanging="0"/>
        <w:jc w:val="both"/>
        <w:rPr>
          <w:color w:val="222222"/>
          <w:highlight w:val="white"/>
        </w:rPr>
      </w:pPr>
      <w:r>
        <w:rPr/>
      </w:r>
    </w:p>
    <w:p>
      <w:pPr>
        <w:pStyle w:val="Normal1"/>
        <w:tabs>
          <w:tab w:val="clear" w:pos="708"/>
          <w:tab w:val="left" w:pos="3486" w:leader="none"/>
        </w:tabs>
        <w:spacing w:lineRule="auto" w:line="240" w:before="0" w:after="0"/>
        <w:ind w:right="-147" w:hanging="0"/>
        <w:jc w:val="both"/>
        <w:rPr/>
      </w:pPr>
      <w:r>
        <w:rPr>
          <w:rStyle w:val="Ninguno"/>
          <w:rFonts w:cs="Helvetica"/>
          <w:b w:val="false"/>
          <w:bCs w:val="false"/>
          <w:i/>
          <w:color w:val="222222"/>
          <w:sz w:val="22"/>
          <w:szCs w:val="22"/>
          <w:highlight w:val="white"/>
          <w:lang w:val="es-ES"/>
        </w:rPr>
        <w:t xml:space="preserve">Esta investigación se presenta en un artículo titulado </w:t>
      </w:r>
      <w:r>
        <w:rPr>
          <w:rStyle w:val="Ninguno"/>
          <w:rFonts w:cs="Helvetica"/>
          <w:b w:val="false"/>
          <w:bCs w:val="false"/>
          <w:i/>
          <w:color w:val="auto"/>
          <w:sz w:val="24"/>
          <w:szCs w:val="24"/>
          <w:lang w:val="es-ES"/>
        </w:rPr>
        <w:t>«</w:t>
      </w:r>
      <w:r>
        <w:rPr>
          <w:rStyle w:val="Ninguno"/>
          <w:rFonts w:cs="Helvetica"/>
          <w:b w:val="false"/>
          <w:bCs w:val="false"/>
          <w:i/>
          <w:color w:val="222222"/>
          <w:sz w:val="22"/>
          <w:szCs w:val="22"/>
          <w:highlight w:val="yellow"/>
          <w:lang w:val="es-ES"/>
        </w:rPr>
        <w:t>The CARMENES search for exoplanets around M dwarfs. Guaranteed Time Observations Data Release 1 (2016-2020)</w:t>
      </w:r>
      <w:r>
        <w:rPr>
          <w:rStyle w:val="Ninguno"/>
          <w:rFonts w:cs="Helvetica"/>
          <w:b w:val="false"/>
          <w:bCs w:val="false"/>
          <w:i/>
          <w:color w:val="auto"/>
          <w:sz w:val="24"/>
          <w:szCs w:val="24"/>
          <w:lang w:val="es-ES"/>
        </w:rPr>
        <w:t>»</w:t>
      </w:r>
      <w:r>
        <w:rPr>
          <w:rStyle w:val="Ninguno"/>
          <w:rFonts w:cs="Helvetica"/>
          <w:b w:val="false"/>
          <w:bCs w:val="false"/>
          <w:i/>
          <w:color w:val="222222"/>
          <w:sz w:val="22"/>
          <w:szCs w:val="22"/>
          <w:highlight w:val="white"/>
          <w:lang w:val="es-ES"/>
        </w:rPr>
        <w:t>, de I. Ribas et al., que aparecerá en la revista Astronomy &amp; Astrophysics el 22 de febrero de 2023.</w:t>
      </w:r>
    </w:p>
    <w:p>
      <w:pPr>
        <w:pStyle w:val="Normal1"/>
        <w:tabs>
          <w:tab w:val="clear" w:pos="708"/>
          <w:tab w:val="left" w:pos="3486" w:leader="none"/>
        </w:tabs>
        <w:spacing w:lineRule="auto" w:line="240" w:before="0" w:after="0"/>
        <w:ind w:left="-142" w:right="-147" w:hanging="0"/>
        <w:jc w:val="both"/>
        <w:rPr>
          <w:color w:val="222222"/>
          <w:highlight w:val="white"/>
        </w:rPr>
      </w:pPr>
      <w:r>
        <w:rPr/>
      </w:r>
    </w:p>
    <w:p>
      <w:pPr>
        <w:pStyle w:val="Normal"/>
        <w:suppressAutoHyphens w:val="true"/>
        <w:jc w:val="both"/>
        <w:rPr>
          <w:rFonts w:ascii="Helvetica" w:hAnsi="Helvetica" w:cs="Helvetica"/>
          <w:b/>
          <w:b/>
          <w:sz w:val="22"/>
          <w:szCs w:val="22"/>
          <w:lang w:val="es-ES"/>
        </w:rPr>
      </w:pPr>
      <w:r>
        <w:rPr>
          <w:rFonts w:cs="Helvetica" w:ascii="Helvetica" w:hAnsi="Helvetica"/>
          <w:b/>
          <w:sz w:val="22"/>
          <w:szCs w:val="22"/>
          <w:lang w:val="es-ES"/>
        </w:rPr>
      </w:r>
    </w:p>
    <w:p>
      <w:pPr>
        <w:pStyle w:val="Normal"/>
        <w:suppressAutoHyphens w:val="true"/>
        <w:jc w:val="both"/>
        <w:rPr>
          <w:rFonts w:ascii="Helvetica" w:hAnsi="Helvetica" w:cs="Helvetica"/>
          <w:b/>
          <w:b/>
          <w:sz w:val="22"/>
          <w:szCs w:val="22"/>
          <w:lang w:val="es-ES"/>
        </w:rPr>
      </w:pPr>
      <w:r>
        <w:rPr>
          <w:rFonts w:cs="Helvetica" w:ascii="Helvetica" w:hAnsi="Helvetica"/>
          <w:b/>
          <w:sz w:val="22"/>
          <w:szCs w:val="22"/>
          <w:lang w:val="es-ES"/>
        </w:rPr>
        <w:t>Sobre el CAB</w:t>
      </w:r>
    </w:p>
    <w:p>
      <w:pPr>
        <w:pStyle w:val="Normal"/>
        <w:spacing w:beforeAutospacing="1" w:afterAutospacing="1"/>
        <w:jc w:val="both"/>
        <w:rPr/>
      </w:pPr>
      <w:r>
        <w:rPr>
          <w:rFonts w:eastAsia="Arial Unicode MS" w:cs="Helvetica" w:ascii="Helvetica" w:hAnsi="Helvetica"/>
          <w:sz w:val="22"/>
          <w:szCs w:val="22"/>
          <w:u w:val="none" w:color="000000"/>
          <w:lang w:val="es-ES"/>
        </w:rPr>
        <w:t xml:space="preserve">El </w:t>
      </w:r>
      <w:hyperlink r:id="rId23">
        <w:r>
          <w:rPr>
            <w:rStyle w:val="InternetLink"/>
            <w:rFonts w:eastAsia="Arial Unicode MS" w:cs="Helvetica" w:ascii="Helvetica" w:hAnsi="Helvetica"/>
            <w:sz w:val="22"/>
            <w:szCs w:val="22"/>
            <w:u w:val="none"/>
            <w:lang w:val="es-ES"/>
          </w:rPr>
          <w:t>Centro de Astrobiología</w:t>
        </w:r>
      </w:hyperlink>
      <w:r>
        <w:rPr>
          <w:rFonts w:eastAsia="Arial Unicode MS" w:cs="Helvetica" w:ascii="Helvetica" w:hAnsi="Helvetica"/>
          <w:sz w:val="22"/>
          <w:szCs w:val="22"/>
          <w:u w:val="none" w:color="000000"/>
          <w:lang w:val="es-ES"/>
        </w:rPr>
        <w:t xml:space="preserve"> (CAB) es un centro mixto de investigación del INTA y del CSIC. Creado en 1999, fue el primer centro del mundo dedicado específicamente a la investigación astrobiológica y el primer centro no estadounidense asociado al NASA Astrobiology Institute (NAI), actualmente NASA Astrobiology Program. Se trata de un centro multidisciplinar cuyo principal objetivo es estudiar el origen, presencia e influencia de la vida en el universo mediante una aproximación transdisciplinar. El CAB fue distinguido en 2017 por el Ministerio de Ciencia e Innovación como Unidad de Excelencia “María de Maeztu”. </w:t>
      </w:r>
    </w:p>
    <w:p>
      <w:pPr>
        <w:pStyle w:val="Normal"/>
        <w:suppressAutoHyphens w:val="true"/>
        <w:jc w:val="both"/>
        <w:rPr/>
      </w:pPr>
      <w:r>
        <w:rPr>
          <w:rFonts w:eastAsia="Arial Unicode MS" w:cs="Helvetica" w:ascii="Helvetica" w:hAnsi="Helvetica"/>
          <w:sz w:val="22"/>
          <w:szCs w:val="22"/>
          <w:u w:val="none" w:color="000000"/>
          <w:lang w:val="es-ES"/>
        </w:rPr>
        <w:t xml:space="preserve">El CAB ha liderado el desarrollo de los instrumentos </w:t>
      </w:r>
      <w:hyperlink r:id="rId24">
        <w:r>
          <w:rPr>
            <w:rStyle w:val="InternetLink"/>
            <w:rFonts w:eastAsia="Arial Unicode MS" w:cs="Helvetica" w:ascii="Helvetica" w:hAnsi="Helvetica"/>
            <w:sz w:val="22"/>
            <w:szCs w:val="22"/>
            <w:u w:val="none"/>
            <w:lang w:val="es-ES"/>
          </w:rPr>
          <w:t>REMS</w:t>
        </w:r>
      </w:hyperlink>
      <w:r>
        <w:rPr>
          <w:rFonts w:eastAsia="Arial Unicode MS" w:cs="Helvetica" w:ascii="Helvetica" w:hAnsi="Helvetica"/>
          <w:sz w:val="22"/>
          <w:szCs w:val="22"/>
          <w:u w:val="none" w:color="000000"/>
          <w:lang w:val="es-ES"/>
        </w:rPr>
        <w:t xml:space="preserve">, </w:t>
      </w:r>
      <w:hyperlink r:id="rId25">
        <w:r>
          <w:rPr>
            <w:rStyle w:val="InternetLink"/>
            <w:rFonts w:eastAsia="Arial Unicode MS" w:cs="Helvetica" w:ascii="Helvetica" w:hAnsi="Helvetica"/>
            <w:sz w:val="22"/>
            <w:szCs w:val="22"/>
            <w:u w:val="none"/>
            <w:lang w:val="es-ES"/>
          </w:rPr>
          <w:t>TWINS</w:t>
        </w:r>
      </w:hyperlink>
      <w:r>
        <w:rPr>
          <w:rFonts w:eastAsia="Arial Unicode MS" w:cs="Helvetica" w:ascii="Helvetica" w:hAnsi="Helvetica"/>
          <w:sz w:val="22"/>
          <w:szCs w:val="22"/>
          <w:u w:val="none" w:color="000000"/>
          <w:lang w:val="es-ES"/>
        </w:rPr>
        <w:t xml:space="preserve"> y </w:t>
      </w:r>
      <w:hyperlink r:id="rId26">
        <w:r>
          <w:rPr>
            <w:rStyle w:val="InternetLink"/>
            <w:rFonts w:eastAsia="Arial Unicode MS" w:cs="Helvetica" w:ascii="Helvetica" w:hAnsi="Helvetica"/>
            <w:sz w:val="22"/>
            <w:szCs w:val="22"/>
            <w:u w:val="none"/>
            <w:lang w:val="es-ES"/>
          </w:rPr>
          <w:t>MEDA</w:t>
        </w:r>
      </w:hyperlink>
      <w:r>
        <w:rPr>
          <w:rFonts w:eastAsia="Arial Unicode MS" w:cs="Helvetica" w:ascii="Helvetica" w:hAnsi="Helvetica"/>
          <w:sz w:val="22"/>
          <w:szCs w:val="22"/>
          <w:u w:val="none" w:color="000000"/>
          <w:lang w:val="es-ES"/>
        </w:rPr>
        <w:t xml:space="preserve">, operativos en Marte desde agosto de 2012, noviembre de 2018 y febrero de 2021, respectivamente; así como la ciencia de los instrumentos </w:t>
      </w:r>
      <w:r>
        <w:rPr>
          <w:rFonts w:eastAsia="Arial Unicode MS" w:cs="Helvetica" w:ascii="Helvetica" w:hAnsi="Helvetica"/>
          <w:sz w:val="22"/>
          <w:szCs w:val="22"/>
          <w:u w:val="none" w:color="000000"/>
          <w:lang w:val="es-ES"/>
        </w:rPr>
        <w:t>R</w:t>
      </w:r>
      <w:r>
        <w:rPr>
          <w:rFonts w:eastAsia="Arial Unicode MS" w:cs="Helvetica" w:ascii="Helvetica" w:hAnsi="Helvetica"/>
          <w:sz w:val="22"/>
          <w:szCs w:val="22"/>
          <w:u w:val="none" w:color="000000"/>
          <w:lang w:val="es-ES"/>
        </w:rPr>
        <w:t xml:space="preserve">aman </w:t>
      </w:r>
      <w:hyperlink r:id="rId27">
        <w:r>
          <w:rPr>
            <w:rStyle w:val="InternetLink"/>
            <w:rFonts w:eastAsia="Arial Unicode MS" w:cs="Helvetica" w:ascii="Helvetica" w:hAnsi="Helvetica"/>
            <w:sz w:val="22"/>
            <w:szCs w:val="22"/>
            <w:u w:val="none"/>
            <w:lang w:val="es-ES"/>
          </w:rPr>
          <w:t>RLS</w:t>
        </w:r>
      </w:hyperlink>
      <w:r>
        <w:rPr>
          <w:rStyle w:val="InternetLink"/>
          <w:rFonts w:eastAsia="Arial Unicode MS" w:cs="Helvetica" w:ascii="Helvetica" w:hAnsi="Helvetica"/>
          <w:sz w:val="22"/>
          <w:szCs w:val="22"/>
          <w:u w:val="none"/>
          <w:lang w:val="es-ES"/>
        </w:rPr>
        <w:t xml:space="preserve"> y RAX</w:t>
      </w:r>
      <w:r>
        <w:rPr>
          <w:rFonts w:eastAsia="Arial Unicode MS" w:cs="Helvetica" w:ascii="Helvetica" w:hAnsi="Helvetica"/>
          <w:sz w:val="22"/>
          <w:szCs w:val="22"/>
          <w:u w:val="none" w:color="000000"/>
          <w:lang w:val="es-ES"/>
        </w:rPr>
        <w:t xml:space="preserve">, que serán enviados a Marte a finales de esta década como parte de la misión ExoMars y a una de sus lunas en la misión MMX, respectivamente. Además, desarrolla el instrumento </w:t>
      </w:r>
      <w:hyperlink r:id="rId28">
        <w:r>
          <w:rPr>
            <w:rStyle w:val="InternetLink"/>
            <w:rFonts w:eastAsia="Arial Unicode MS" w:cs="Helvetica" w:ascii="Helvetica" w:hAnsi="Helvetica"/>
            <w:sz w:val="22"/>
            <w:szCs w:val="22"/>
            <w:u w:val="none"/>
            <w:lang w:val="es-ES"/>
          </w:rPr>
          <w:t>SOLID</w:t>
        </w:r>
      </w:hyperlink>
      <w:r>
        <w:rPr>
          <w:rFonts w:eastAsia="Arial Unicode MS" w:cs="Helvetica" w:ascii="Helvetica" w:hAnsi="Helvetica"/>
          <w:sz w:val="22"/>
          <w:szCs w:val="22"/>
          <w:u w:val="none" w:color="000000"/>
          <w:lang w:val="es-ES"/>
        </w:rPr>
        <w:t xml:space="preserve"> para la búsqueda de vida en exploración planetaria. Asimismo, el CAB co-lidera junto con otras tres instituciones europeas el desarrollo del telescopio espacial </w:t>
      </w:r>
      <w:r>
        <w:rPr>
          <w:rStyle w:val="InternetLink"/>
          <w:rFonts w:cs="Helvetica" w:ascii="Helvetica" w:hAnsi="Helvetica"/>
          <w:sz w:val="22"/>
          <w:szCs w:val="22"/>
          <w:u w:val="none"/>
        </w:rPr>
        <w:t>PLATO</w:t>
      </w:r>
      <w:r>
        <w:rPr>
          <w:rFonts w:eastAsia="Arial Unicode MS" w:cs="Helvetica" w:ascii="Helvetica" w:hAnsi="Helvetica"/>
          <w:sz w:val="22"/>
          <w:szCs w:val="22"/>
          <w:u w:val="none" w:color="000000"/>
          <w:lang w:val="es-ES"/>
        </w:rPr>
        <w:t xml:space="preserve">, y participa en diferentes misiones e instrumentos de gran relevancia astrobiológica, como MMX, </w:t>
      </w:r>
      <w:hyperlink r:id="rId29">
        <w:r>
          <w:rPr>
            <w:rStyle w:val="InternetLink"/>
            <w:rFonts w:eastAsia="Arial Unicode MS" w:cs="Helvetica" w:ascii="Helvetica" w:hAnsi="Helvetica"/>
            <w:sz w:val="22"/>
            <w:szCs w:val="22"/>
            <w:u w:val="none"/>
            <w:lang w:val="es-ES"/>
          </w:rPr>
          <w:t>CARMENES</w:t>
        </w:r>
      </w:hyperlink>
      <w:r>
        <w:rPr>
          <w:rFonts w:eastAsia="Arial Unicode MS" w:cs="Helvetica" w:ascii="Helvetica" w:hAnsi="Helvetica"/>
          <w:sz w:val="22"/>
          <w:szCs w:val="22"/>
          <w:u w:val="none" w:color="000000"/>
          <w:lang w:val="es-ES"/>
        </w:rPr>
        <w:t xml:space="preserve">, </w:t>
      </w:r>
      <w:hyperlink r:id="rId30">
        <w:r>
          <w:rPr>
            <w:rStyle w:val="InternetLink"/>
            <w:rFonts w:eastAsia="Arial Unicode MS" w:cs="Helvetica" w:ascii="Helvetica" w:hAnsi="Helvetica"/>
            <w:sz w:val="22"/>
            <w:szCs w:val="22"/>
            <w:u w:val="none"/>
            <w:lang w:val="es-ES"/>
          </w:rPr>
          <w:t>CHEOPS</w:t>
        </w:r>
      </w:hyperlink>
      <w:r>
        <w:rPr>
          <w:rFonts w:eastAsia="Arial Unicode MS" w:cs="Helvetica" w:ascii="Helvetica" w:hAnsi="Helvetica"/>
          <w:sz w:val="22"/>
          <w:szCs w:val="22"/>
          <w:u w:val="none" w:color="000000"/>
          <w:lang w:val="es-ES"/>
        </w:rPr>
        <w:t xml:space="preserve">, </w:t>
      </w:r>
      <w:hyperlink r:id="rId31">
        <w:r>
          <w:rPr>
            <w:rStyle w:val="InternetLink"/>
            <w:rFonts w:eastAsia="Arial Unicode MS" w:cs="Helvetica" w:ascii="Helvetica" w:hAnsi="Helvetica"/>
            <w:sz w:val="22"/>
            <w:szCs w:val="22"/>
            <w:u w:val="none"/>
            <w:lang w:val="es-ES"/>
          </w:rPr>
          <w:t>BepiColombo</w:t>
        </w:r>
      </w:hyperlink>
      <w:r>
        <w:rPr>
          <w:rFonts w:eastAsia="Arial Unicode MS" w:cs="Helvetica" w:ascii="Helvetica" w:hAnsi="Helvetica"/>
          <w:sz w:val="22"/>
          <w:szCs w:val="22"/>
          <w:u w:val="none" w:color="000000"/>
          <w:lang w:val="es-ES"/>
        </w:rPr>
        <w:t xml:space="preserve">, </w:t>
      </w:r>
      <w:hyperlink r:id="rId32">
        <w:r>
          <w:rPr>
            <w:rStyle w:val="InternetLink"/>
            <w:rFonts w:eastAsia="Arial Unicode MS" w:cs="Helvetica" w:ascii="Helvetica" w:hAnsi="Helvetica"/>
            <w:sz w:val="22"/>
            <w:szCs w:val="22"/>
            <w:u w:val="none"/>
            <w:lang w:val="es-ES"/>
          </w:rPr>
          <w:t>DART</w:t>
        </w:r>
      </w:hyperlink>
      <w:r>
        <w:rPr>
          <w:rFonts w:eastAsia="Arial Unicode MS" w:cs="Helvetica" w:ascii="Helvetica" w:hAnsi="Helvetica"/>
          <w:sz w:val="22"/>
          <w:szCs w:val="22"/>
          <w:u w:val="none" w:color="000000"/>
          <w:lang w:val="es-ES"/>
        </w:rPr>
        <w:t xml:space="preserve">, </w:t>
      </w:r>
      <w:hyperlink r:id="rId33">
        <w:r>
          <w:rPr>
            <w:rStyle w:val="InternetLink"/>
            <w:rFonts w:eastAsia="Arial Unicode MS" w:cs="Helvetica" w:ascii="Helvetica" w:hAnsi="Helvetica"/>
            <w:sz w:val="22"/>
            <w:szCs w:val="22"/>
            <w:u w:val="none"/>
            <w:lang w:val="es-ES"/>
          </w:rPr>
          <w:t>Hera</w:t>
        </w:r>
      </w:hyperlink>
      <w:r>
        <w:rPr>
          <w:rFonts w:eastAsia="Arial Unicode MS" w:cs="Helvetica" w:ascii="Helvetica" w:hAnsi="Helvetica"/>
          <w:sz w:val="22"/>
          <w:szCs w:val="22"/>
          <w:u w:val="none" w:color="000000"/>
          <w:lang w:val="es-ES"/>
        </w:rPr>
        <w:t xml:space="preserve">, los instrumentos </w:t>
      </w:r>
      <w:hyperlink r:id="rId34">
        <w:r>
          <w:rPr>
            <w:rStyle w:val="InternetLink"/>
            <w:rFonts w:eastAsia="Arial Unicode MS" w:cs="Helvetica" w:ascii="Helvetica" w:hAnsi="Helvetica"/>
            <w:sz w:val="22"/>
            <w:szCs w:val="22"/>
            <w:u w:val="none"/>
            <w:lang w:val="es-ES"/>
          </w:rPr>
          <w:t>MIRI</w:t>
        </w:r>
      </w:hyperlink>
      <w:r>
        <w:rPr>
          <w:rFonts w:eastAsia="Arial Unicode MS" w:cs="Helvetica" w:ascii="Helvetica" w:hAnsi="Helvetica"/>
          <w:sz w:val="22"/>
          <w:szCs w:val="22"/>
          <w:u w:val="none" w:color="000000"/>
          <w:lang w:val="es-ES"/>
        </w:rPr>
        <w:t xml:space="preserve"> y </w:t>
      </w:r>
      <w:hyperlink r:id="rId35">
        <w:r>
          <w:rPr>
            <w:rStyle w:val="InternetLink"/>
            <w:rFonts w:eastAsia="Arial Unicode MS" w:cs="Helvetica" w:ascii="Helvetica" w:hAnsi="Helvetica"/>
            <w:sz w:val="22"/>
            <w:szCs w:val="22"/>
            <w:u w:val="none"/>
            <w:lang w:val="es-ES"/>
          </w:rPr>
          <w:t>NIRSpec</w:t>
        </w:r>
      </w:hyperlink>
      <w:r>
        <w:rPr>
          <w:rFonts w:eastAsia="Arial Unicode MS" w:cs="Helvetica" w:ascii="Helvetica" w:hAnsi="Helvetica"/>
          <w:sz w:val="22"/>
          <w:szCs w:val="22"/>
          <w:u w:val="none" w:color="000000"/>
          <w:lang w:val="es-ES"/>
        </w:rPr>
        <w:t xml:space="preserve"> en </w:t>
      </w:r>
      <w:hyperlink r:id="rId36">
        <w:r>
          <w:rPr>
            <w:rStyle w:val="InternetLink"/>
            <w:rFonts w:eastAsia="Arial Unicode MS" w:cs="Helvetica" w:ascii="Helvetica" w:hAnsi="Helvetica"/>
            <w:sz w:val="22"/>
            <w:szCs w:val="22"/>
            <w:u w:val="none"/>
            <w:lang w:val="es-ES"/>
          </w:rPr>
          <w:t>JWST</w:t>
        </w:r>
      </w:hyperlink>
      <w:r>
        <w:rPr>
          <w:rFonts w:eastAsia="Arial Unicode MS" w:cs="Helvetica" w:ascii="Helvetica" w:hAnsi="Helvetica"/>
          <w:sz w:val="22"/>
          <w:szCs w:val="22"/>
          <w:u w:val="none" w:color="000000"/>
          <w:lang w:val="es-ES"/>
        </w:rPr>
        <w:t xml:space="preserve"> y el instrumento </w:t>
      </w:r>
      <w:hyperlink r:id="rId37">
        <w:r>
          <w:rPr>
            <w:rStyle w:val="InternetLink"/>
            <w:rFonts w:eastAsia="Arial Unicode MS" w:cs="Helvetica" w:ascii="Helvetica" w:hAnsi="Helvetica"/>
            <w:sz w:val="22"/>
            <w:szCs w:val="22"/>
            <w:u w:val="none"/>
            <w:lang w:val="es-ES"/>
          </w:rPr>
          <w:t>HARMONI</w:t>
        </w:r>
      </w:hyperlink>
      <w:r>
        <w:rPr>
          <w:rFonts w:eastAsia="Arial Unicode MS" w:cs="Helvetica" w:ascii="Helvetica" w:hAnsi="Helvetica"/>
          <w:sz w:val="22"/>
          <w:szCs w:val="22"/>
          <w:u w:val="none" w:color="000000"/>
          <w:lang w:val="es-ES"/>
        </w:rPr>
        <w:t xml:space="preserve"> en el </w:t>
      </w:r>
      <w:hyperlink r:id="rId38">
        <w:r>
          <w:rPr>
            <w:rStyle w:val="InternetLink"/>
            <w:rFonts w:eastAsia="Arial Unicode MS" w:cs="Helvetica" w:ascii="Helvetica" w:hAnsi="Helvetica"/>
            <w:sz w:val="22"/>
            <w:szCs w:val="22"/>
            <w:u w:val="none"/>
            <w:lang w:val="es-ES"/>
          </w:rPr>
          <w:t>ELT</w:t>
        </w:r>
      </w:hyperlink>
      <w:r>
        <w:rPr>
          <w:rFonts w:eastAsia="Arial Unicode MS" w:cs="Helvetica" w:ascii="Helvetica" w:hAnsi="Helvetica"/>
          <w:sz w:val="22"/>
          <w:szCs w:val="22"/>
          <w:u w:val="none" w:color="000000"/>
          <w:lang w:val="es-ES"/>
        </w:rPr>
        <w:t xml:space="preserve"> de </w:t>
      </w:r>
      <w:hyperlink r:id="rId39">
        <w:r>
          <w:rPr>
            <w:rStyle w:val="InternetLink"/>
            <w:rFonts w:eastAsia="Arial Unicode MS" w:cs="Helvetica" w:ascii="Helvetica" w:hAnsi="Helvetica"/>
            <w:sz w:val="22"/>
            <w:szCs w:val="22"/>
            <w:u w:val="none"/>
            <w:lang w:val="es-ES"/>
          </w:rPr>
          <w:t>ESO</w:t>
        </w:r>
      </w:hyperlink>
      <w:r>
        <w:rPr>
          <w:rFonts w:eastAsia="Arial Unicode MS" w:cs="Helvetica" w:ascii="Helvetica" w:hAnsi="Helvetica"/>
          <w:sz w:val="22"/>
          <w:szCs w:val="22"/>
          <w:u w:val="none" w:color="000000"/>
          <w:lang w:val="es-ES"/>
        </w:rPr>
        <w:t>.</w:t>
      </w:r>
    </w:p>
    <w:p>
      <w:pPr>
        <w:pStyle w:val="Normal"/>
        <w:jc w:val="both"/>
        <w:rPr>
          <w:rFonts w:ascii="Helvetica" w:hAnsi="Helvetica" w:cs="Helvetica"/>
          <w:b/>
          <w:b/>
          <w:bCs/>
          <w:sz w:val="22"/>
          <w:szCs w:val="22"/>
          <w:lang w:val="es-ES"/>
        </w:rPr>
      </w:pPr>
      <w:r>
        <w:rPr/>
      </w:r>
    </w:p>
    <w:p>
      <w:pPr>
        <w:pStyle w:val="Normal"/>
        <w:widowControl w:val="false"/>
        <w:jc w:val="both"/>
        <w:rPr>
          <w:rFonts w:ascii="Helvetica" w:hAnsi="Helvetica" w:cs="Helvetica"/>
          <w:sz w:val="22"/>
          <w:szCs w:val="22"/>
          <w:lang w:val="es-ES"/>
        </w:rPr>
      </w:pPr>
      <w:r>
        <w:rPr>
          <w:rFonts w:cs="Helvetica" w:ascii="Helvetica" w:hAnsi="Helvetica"/>
          <w:sz w:val="22"/>
          <w:szCs w:val="22"/>
          <w:lang w:val="es-ES"/>
        </w:rPr>
      </w:r>
    </w:p>
    <w:p>
      <w:pPr>
        <w:pStyle w:val="Normal"/>
        <w:widowControl w:val="false"/>
        <w:jc w:val="both"/>
        <w:rPr>
          <w:rFonts w:ascii="Helvetica" w:hAnsi="Helvetica" w:cs="Helvetica"/>
          <w:sz w:val="22"/>
          <w:szCs w:val="22"/>
          <w:u w:val="single"/>
          <w:lang w:val="es-ES"/>
        </w:rPr>
      </w:pPr>
      <w:r>
        <w:rPr>
          <w:rFonts w:cs="Helvetica" w:ascii="Helvetica" w:hAnsi="Helvetica"/>
          <w:sz w:val="22"/>
          <w:szCs w:val="22"/>
          <w:u w:val="single"/>
          <w:lang w:val="es-ES"/>
        </w:rPr>
      </w:r>
    </w:p>
    <w:p>
      <w:pPr>
        <w:pStyle w:val="Normal"/>
        <w:spacing w:before="0" w:after="240"/>
        <w:jc w:val="both"/>
        <w:rPr>
          <w:rFonts w:ascii="Helvetica" w:hAnsi="Helvetica" w:cs="Helvetica"/>
          <w:sz w:val="22"/>
          <w:szCs w:val="22"/>
          <w:u w:val="single"/>
          <w:lang w:val="es-ES"/>
        </w:rPr>
      </w:pPr>
      <w:r>
        <w:rPr>
          <w:rFonts w:cs="Helvetica" w:ascii="Helvetica" w:hAnsi="Helvetica"/>
          <w:sz w:val="22"/>
          <w:szCs w:val="22"/>
          <w:u w:val="single"/>
          <w:lang w:val="es-ES"/>
        </w:rPr>
        <w:t>Contacto</w:t>
      </w:r>
    </w:p>
    <w:p>
      <w:pPr>
        <w:pStyle w:val="Normal"/>
        <w:spacing w:before="0" w:after="240"/>
        <w:jc w:val="both"/>
        <w:rPr>
          <w:rFonts w:ascii="Helvetica" w:hAnsi="Helvetica" w:cs="Helvetica"/>
          <w:sz w:val="22"/>
          <w:szCs w:val="22"/>
          <w:lang w:val="es-ES"/>
        </w:rPr>
      </w:pPr>
      <w:r>
        <w:rPr>
          <w:rFonts w:cs="Helvetica" w:ascii="Helvetica" w:hAnsi="Helvetica"/>
          <w:sz w:val="22"/>
          <w:szCs w:val="22"/>
          <w:lang w:val="es-ES"/>
        </w:rPr>
        <w:t>I</w:t>
      </w:r>
      <w:bookmarkStart w:id="2" w:name="__DdeLink__819_919880372"/>
      <w:r>
        <w:rPr>
          <w:rFonts w:cs="Helvetica" w:ascii="Helvetica" w:hAnsi="Helvetica"/>
          <w:sz w:val="22"/>
          <w:szCs w:val="22"/>
          <w:lang w:val="es-ES"/>
        </w:rPr>
        <w:t>nvestigador del CAB:</w:t>
      </w:r>
      <w:bookmarkEnd w:id="2"/>
      <w:r>
        <w:rPr>
          <w:rFonts w:cs="Helvetica" w:ascii="Helvetica" w:hAnsi="Helvetica"/>
          <w:sz w:val="22"/>
          <w:szCs w:val="22"/>
          <w:lang w:val="es-ES"/>
        </w:rPr>
        <w:t xml:space="preserve"> </w:t>
      </w:r>
      <w:r>
        <w:rPr>
          <w:rFonts w:cs="Helvetica" w:ascii="Helvetica" w:hAnsi="Helvetica"/>
          <w:sz w:val="22"/>
          <w:szCs w:val="22"/>
          <w:lang w:val="es-ES"/>
        </w:rPr>
        <w:t>José Antonio Caballero (caballero@cab.inta-csic.es)</w:t>
      </w:r>
    </w:p>
    <w:p>
      <w:pPr>
        <w:pStyle w:val="Normal"/>
        <w:spacing w:before="0" w:after="240"/>
        <w:jc w:val="both"/>
        <w:rPr>
          <w:rFonts w:ascii="Helvetica" w:hAnsi="Helvetica" w:cs="Helvetica"/>
          <w:sz w:val="22"/>
          <w:szCs w:val="22"/>
          <w:u w:val="single"/>
          <w:lang w:val="es-ES"/>
        </w:rPr>
      </w:pPr>
      <w:r>
        <w:rPr>
          <w:rFonts w:cs="Helvetica" w:ascii="Helvetica" w:hAnsi="Helvetica"/>
          <w:sz w:val="22"/>
          <w:szCs w:val="22"/>
          <w:u w:val="single"/>
          <w:lang w:val="es-ES"/>
        </w:rPr>
      </w:r>
    </w:p>
    <w:p>
      <w:pPr>
        <w:pStyle w:val="Normal"/>
        <w:spacing w:before="0" w:after="240"/>
        <w:jc w:val="center"/>
        <w:rPr>
          <w:rFonts w:ascii="Helvetica" w:hAnsi="Helvetica" w:cs="Helvetica"/>
          <w:b/>
          <w:b/>
          <w:sz w:val="22"/>
          <w:szCs w:val="22"/>
          <w:lang w:val="es-ES"/>
        </w:rPr>
      </w:pPr>
      <w:r>
        <w:rPr>
          <w:rFonts w:cs="Helvetica" w:ascii="Helvetica" w:hAnsi="Helvetica"/>
          <w:b/>
          <w:sz w:val="22"/>
          <w:szCs w:val="22"/>
          <w:lang w:val="es-ES"/>
        </w:rPr>
      </w:r>
    </w:p>
    <w:p>
      <w:pPr>
        <w:pStyle w:val="Normal"/>
        <w:spacing w:before="0" w:after="240"/>
        <w:jc w:val="center"/>
        <w:rPr>
          <w:rFonts w:ascii="Helvetica" w:hAnsi="Helvetica" w:cs="Helvetica"/>
          <w:b/>
          <w:b/>
          <w:sz w:val="22"/>
          <w:szCs w:val="22"/>
          <w:lang w:val="es-ES"/>
        </w:rPr>
      </w:pPr>
      <w:r>
        <w:rPr>
          <w:rFonts w:cs="Helvetica" w:ascii="Helvetica" w:hAnsi="Helvetica"/>
          <w:b/>
          <w:sz w:val="22"/>
          <w:szCs w:val="22"/>
          <w:lang w:val="es-ES"/>
        </w:rPr>
        <w:t>UNIDAD DE CULTURA CIENTÍFICA DEL CAB</w:t>
      </w:r>
    </w:p>
    <w:p>
      <w:pPr>
        <w:pStyle w:val="Normal"/>
        <w:spacing w:before="0" w:after="240"/>
        <w:jc w:val="center"/>
        <w:rPr>
          <w:rFonts w:ascii="Helvetica" w:hAnsi="Helvetica" w:cs="Helvetica"/>
          <w:sz w:val="22"/>
          <w:szCs w:val="22"/>
        </w:rPr>
      </w:pPr>
      <w:r>
        <w:rPr>
          <w:rFonts w:cs="Helvetica" w:ascii="Helvetica" w:hAnsi="Helvetica"/>
          <w:sz w:val="22"/>
          <w:szCs w:val="22"/>
          <w:lang w:val="es-ES"/>
        </w:rPr>
        <w:t xml:space="preserve">divulgacion </w:t>
      </w:r>
      <w:r>
        <w:rPr>
          <w:rFonts w:cs="Helvetica" w:ascii="Helvetica" w:hAnsi="Helvetica"/>
          <w:sz w:val="22"/>
          <w:szCs w:val="22"/>
          <w:lang w:val="fr-FR"/>
        </w:rPr>
        <w:t xml:space="preserve">(+@cab.inta-csic.es); </w:t>
      </w:r>
      <w:r>
        <w:rPr>
          <w:rFonts w:cs="Helvetica" w:ascii="Helvetica" w:hAnsi="Helvetica"/>
          <w:sz w:val="22"/>
          <w:szCs w:val="22"/>
        </w:rPr>
        <w:t>(+34) 915202107</w:t>
      </w:r>
    </w:p>
    <w:p>
      <w:pPr>
        <w:pStyle w:val="Normal"/>
        <w:jc w:val="center"/>
        <w:rPr>
          <w:sz w:val="22"/>
          <w:szCs w:val="22"/>
        </w:rPr>
      </w:pPr>
      <w:r>
        <w:rPr>
          <w:sz w:val="22"/>
          <w:szCs w:val="22"/>
        </w:rPr>
      </w:r>
    </w:p>
    <w:p>
      <w:pPr>
        <w:pStyle w:val="Normal"/>
        <w:suppressAutoHyphens w:val="true"/>
        <w:jc w:val="center"/>
        <w:rPr>
          <w:sz w:val="22"/>
          <w:szCs w:val="22"/>
        </w:rPr>
      </w:pPr>
      <w:r>
        <w:rPr>
          <w:sz w:val="22"/>
          <w:szCs w:val="22"/>
        </w:rPr>
        <w:drawing>
          <wp:anchor behindDoc="0" distT="0" distB="12700" distL="114300" distR="114300" simplePos="0" locked="0" layoutInCell="0" allowOverlap="1" relativeHeight="10">
            <wp:simplePos x="0" y="0"/>
            <wp:positionH relativeFrom="column">
              <wp:posOffset>124460</wp:posOffset>
            </wp:positionH>
            <wp:positionV relativeFrom="paragraph">
              <wp:posOffset>915670</wp:posOffset>
            </wp:positionV>
            <wp:extent cx="3969385" cy="800100"/>
            <wp:effectExtent l="0" t="0" r="0" b="0"/>
            <wp:wrapTight wrapText="bothSides">
              <wp:wrapPolygon edited="0">
                <wp:start x="-19" y="0"/>
                <wp:lineTo x="-19" y="21204"/>
                <wp:lineTo x="21391" y="21204"/>
                <wp:lineTo x="21391" y="0"/>
                <wp:lineTo x="-19" y="0"/>
              </wp:wrapPolygon>
            </wp:wrapTight>
            <wp:docPr id="3" name="Image2" descr="Macintosh HD:Users:ucc:Desktop:ministerio-fecyt-impres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Macintosh HD:Users:ucc:Desktop:ministerio-fecyt-impreso_JPG.jpg"/>
                    <pic:cNvPicPr>
                      <a:picLocks noChangeAspect="1" noChangeArrowheads="1"/>
                    </pic:cNvPicPr>
                  </pic:nvPicPr>
                  <pic:blipFill>
                    <a:blip r:embed="rId40"/>
                    <a:stretch>
                      <a:fillRect/>
                    </a:stretch>
                  </pic:blipFill>
                  <pic:spPr bwMode="auto">
                    <a:xfrm>
                      <a:off x="0" y="0"/>
                      <a:ext cx="3969385" cy="800100"/>
                    </a:xfrm>
                    <a:prstGeom prst="rect">
                      <a:avLst/>
                    </a:prstGeom>
                  </pic:spPr>
                </pic:pic>
              </a:graphicData>
            </a:graphic>
          </wp:anchor>
        </w:drawing>
        <w:drawing>
          <wp:anchor behindDoc="0" distT="0" distB="1270" distL="114300" distR="127000" simplePos="0" locked="0" layoutInCell="0" allowOverlap="1" relativeHeight="11">
            <wp:simplePos x="0" y="0"/>
            <wp:positionH relativeFrom="column">
              <wp:posOffset>4083685</wp:posOffset>
            </wp:positionH>
            <wp:positionV relativeFrom="paragraph">
              <wp:posOffset>1057910</wp:posOffset>
            </wp:positionV>
            <wp:extent cx="800100" cy="532130"/>
            <wp:effectExtent l="0" t="0" r="0" b="0"/>
            <wp:wrapTight wrapText="bothSides">
              <wp:wrapPolygon edited="0">
                <wp:start x="-67" y="0"/>
                <wp:lineTo x="-67" y="20456"/>
                <wp:lineTo x="21219" y="20456"/>
                <wp:lineTo x="21219" y="0"/>
                <wp:lineTo x="-67" y="0"/>
              </wp:wrapPolygon>
            </wp:wrapTight>
            <wp:docPr id="4" name="Imagen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8" descr=""/>
                    <pic:cNvPicPr>
                      <a:picLocks noChangeAspect="1" noChangeArrowheads="1"/>
                    </pic:cNvPicPr>
                  </pic:nvPicPr>
                  <pic:blipFill>
                    <a:blip r:embed="rId41"/>
                    <a:srcRect l="84037" t="0" r="0" b="0"/>
                    <a:stretch>
                      <a:fillRect/>
                    </a:stretch>
                  </pic:blipFill>
                  <pic:spPr bwMode="auto">
                    <a:xfrm>
                      <a:off x="0" y="0"/>
                      <a:ext cx="800100" cy="532130"/>
                    </a:xfrm>
                    <a:prstGeom prst="rect">
                      <a:avLst/>
                    </a:prstGeom>
                  </pic:spPr>
                </pic:pic>
              </a:graphicData>
            </a:graphic>
          </wp:anchor>
        </w:drawing>
      </w:r>
    </w:p>
    <w:p>
      <w:pPr>
        <w:pStyle w:val="Normal"/>
        <w:suppressAutoHyphens w:val="true"/>
        <w:jc w:val="center"/>
        <w:rPr/>
      </w:pPr>
      <w:r>
        <w:drawing>
          <wp:anchor behindDoc="0" distT="0" distB="15875" distL="114300" distR="127000" simplePos="0" locked="0" layoutInCell="0" allowOverlap="1" relativeHeight="12">
            <wp:simplePos x="0" y="0"/>
            <wp:positionH relativeFrom="column">
              <wp:posOffset>1218565</wp:posOffset>
            </wp:positionH>
            <wp:positionV relativeFrom="paragraph">
              <wp:posOffset>88265</wp:posOffset>
            </wp:positionV>
            <wp:extent cx="341630" cy="377825"/>
            <wp:effectExtent l="0" t="0" r="0" b="0"/>
            <wp:wrapSquare wrapText="bothSides"/>
            <wp:docPr id="5" name="Imagen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2" descr=""/>
                    <pic:cNvPicPr>
                      <a:picLocks noChangeAspect="1" noChangeArrowheads="1"/>
                    </pic:cNvPicPr>
                  </pic:nvPicPr>
                  <pic:blipFill>
                    <a:blip r:embed="rId42"/>
                    <a:stretch>
                      <a:fillRect/>
                    </a:stretch>
                  </pic:blipFill>
                  <pic:spPr bwMode="auto">
                    <a:xfrm>
                      <a:off x="0" y="0"/>
                      <a:ext cx="341630" cy="377825"/>
                    </a:xfrm>
                    <a:prstGeom prst="rect">
                      <a:avLst/>
                    </a:prstGeom>
                  </pic:spPr>
                </pic:pic>
              </a:graphicData>
            </a:graphic>
          </wp:anchor>
        </w:drawing>
        <w:drawing>
          <wp:anchor behindDoc="0" distT="0" distB="15875" distL="114300" distR="130175" simplePos="0" locked="0" layoutInCell="0" allowOverlap="1" relativeHeight="13">
            <wp:simplePos x="0" y="0"/>
            <wp:positionH relativeFrom="column">
              <wp:posOffset>1971675</wp:posOffset>
            </wp:positionH>
            <wp:positionV relativeFrom="paragraph">
              <wp:posOffset>88900</wp:posOffset>
            </wp:positionV>
            <wp:extent cx="377825" cy="377825"/>
            <wp:effectExtent l="0" t="0" r="0" b="0"/>
            <wp:wrapSquare wrapText="bothSides"/>
            <wp:docPr id="6"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descr=""/>
                    <pic:cNvPicPr>
                      <a:picLocks noChangeAspect="1" noChangeArrowheads="1"/>
                    </pic:cNvPicPr>
                  </pic:nvPicPr>
                  <pic:blipFill>
                    <a:blip r:embed="rId43"/>
                    <a:stretch>
                      <a:fillRect/>
                    </a:stretch>
                  </pic:blipFill>
                  <pic:spPr bwMode="auto">
                    <a:xfrm>
                      <a:off x="0" y="0"/>
                      <a:ext cx="377825" cy="377825"/>
                    </a:xfrm>
                    <a:prstGeom prst="rect">
                      <a:avLst/>
                    </a:prstGeom>
                  </pic:spPr>
                </pic:pic>
              </a:graphicData>
            </a:graphic>
          </wp:anchor>
        </w:drawing>
        <w:drawing>
          <wp:anchor behindDoc="0" distT="0" distB="3175" distL="114300" distR="117475" simplePos="0" locked="0" layoutInCell="0" allowOverlap="1" relativeHeight="14">
            <wp:simplePos x="0" y="0"/>
            <wp:positionH relativeFrom="column">
              <wp:posOffset>2714625</wp:posOffset>
            </wp:positionH>
            <wp:positionV relativeFrom="paragraph">
              <wp:posOffset>88900</wp:posOffset>
            </wp:positionV>
            <wp:extent cx="377825" cy="377825"/>
            <wp:effectExtent l="0" t="0" r="0" b="0"/>
            <wp:wrapTight wrapText="bothSides">
              <wp:wrapPolygon edited="0">
                <wp:start x="-172" y="0"/>
                <wp:lineTo x="-172" y="20136"/>
                <wp:lineTo x="20298" y="20136"/>
                <wp:lineTo x="20298" y="0"/>
                <wp:lineTo x="-172" y="0"/>
              </wp:wrapPolygon>
            </wp:wrapTight>
            <wp:docPr id="7"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1" descr=""/>
                    <pic:cNvPicPr>
                      <a:picLocks noChangeAspect="1" noChangeArrowheads="1"/>
                    </pic:cNvPicPr>
                  </pic:nvPicPr>
                  <pic:blipFill>
                    <a:blip r:embed="rId44"/>
                    <a:stretch>
                      <a:fillRect/>
                    </a:stretch>
                  </pic:blipFill>
                  <pic:spPr bwMode="auto">
                    <a:xfrm>
                      <a:off x="0" y="0"/>
                      <a:ext cx="377825" cy="377825"/>
                    </a:xfrm>
                    <a:prstGeom prst="rect">
                      <a:avLst/>
                    </a:prstGeom>
                  </pic:spPr>
                </pic:pic>
              </a:graphicData>
            </a:graphic>
          </wp:anchor>
        </w:drawing>
        <w:drawing>
          <wp:anchor behindDoc="0" distT="0" distB="4445" distL="114300" distR="114300" simplePos="0" locked="0" layoutInCell="0" allowOverlap="1" relativeHeight="15">
            <wp:simplePos x="0" y="0"/>
            <wp:positionH relativeFrom="margin">
              <wp:posOffset>3427095</wp:posOffset>
            </wp:positionH>
            <wp:positionV relativeFrom="paragraph">
              <wp:posOffset>68580</wp:posOffset>
            </wp:positionV>
            <wp:extent cx="572135" cy="396240"/>
            <wp:effectExtent l="0" t="0" r="0" b="0"/>
            <wp:wrapTight wrapText="bothSides">
              <wp:wrapPolygon edited="0">
                <wp:start x="-160" y="0"/>
                <wp:lineTo x="-160" y="20138"/>
                <wp:lineTo x="20470" y="20138"/>
                <wp:lineTo x="20470" y="0"/>
                <wp:lineTo x="-160" y="0"/>
              </wp:wrapPolygon>
            </wp:wrapTight>
            <wp:docPr id="8" name="Imagen 13" descr="Macintosh HD:Users:ucc:Desktop: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3" descr="Macintosh HD:Users:ucc:Desktop:descarga.png"/>
                    <pic:cNvPicPr>
                      <a:picLocks noChangeAspect="1" noChangeArrowheads="1"/>
                    </pic:cNvPicPr>
                  </pic:nvPicPr>
                  <pic:blipFill>
                    <a:blip r:embed="rId45"/>
                    <a:stretch>
                      <a:fillRect/>
                    </a:stretch>
                  </pic:blipFill>
                  <pic:spPr bwMode="auto">
                    <a:xfrm>
                      <a:off x="0" y="0"/>
                      <a:ext cx="572135" cy="396240"/>
                    </a:xfrm>
                    <a:prstGeom prst="rect">
                      <a:avLst/>
                    </a:prstGeom>
                  </pic:spPr>
                </pic:pic>
              </a:graphicData>
            </a:graphic>
          </wp:anchor>
        </w:drawing>
      </w:r>
      <w:r>
        <w:rPr/>
        <w:drawing>
          <wp:inline distT="0" distB="0" distL="0" distR="0">
            <wp:extent cx="2819400" cy="590550"/>
            <wp:effectExtent l="0" t="0" r="0" b="0"/>
            <wp:docPr id="9" name="Imagen 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Texto&#10;&#10;Descripción generada automáticamente"/>
                    <pic:cNvPicPr>
                      <a:picLocks noChangeAspect="1" noChangeArrowheads="1"/>
                    </pic:cNvPicPr>
                  </pic:nvPicPr>
                  <pic:blipFill>
                    <a:blip r:embed="rId46"/>
                    <a:srcRect l="7483" t="0" r="0" b="0"/>
                    <a:stretch>
                      <a:fillRect/>
                    </a:stretch>
                  </pic:blipFill>
                  <pic:spPr bwMode="auto">
                    <a:xfrm>
                      <a:off x="0" y="0"/>
                      <a:ext cx="2819400" cy="590550"/>
                    </a:xfrm>
                    <a:prstGeom prst="rect">
                      <a:avLst/>
                    </a:prstGeom>
                  </pic:spPr>
                </pic:pic>
              </a:graphicData>
            </a:graphic>
          </wp:inline>
        </w:drawing>
      </w:r>
      <w:r>
        <w:rPr/>
        <w:drawing>
          <wp:inline distT="0" distB="0" distL="0" distR="0">
            <wp:extent cx="998220" cy="568960"/>
            <wp:effectExtent l="0" t="0" r="0" b="0"/>
            <wp:docPr id="10" name="Imagen 1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Texto&#10;&#10;Descripción generada automáticamente"/>
                    <pic:cNvPicPr>
                      <a:picLocks noChangeAspect="1" noChangeArrowheads="1"/>
                    </pic:cNvPicPr>
                  </pic:nvPicPr>
                  <pic:blipFill>
                    <a:blip r:embed="rId47"/>
                    <a:stretch>
                      <a:fillRect/>
                    </a:stretch>
                  </pic:blipFill>
                  <pic:spPr bwMode="auto">
                    <a:xfrm>
                      <a:off x="0" y="0"/>
                      <a:ext cx="998220" cy="568960"/>
                    </a:xfrm>
                    <a:prstGeom prst="rect">
                      <a:avLst/>
                    </a:prstGeom>
                  </pic:spPr>
                </pic:pic>
              </a:graphicData>
            </a:graphic>
          </wp:inline>
        </w:drawing>
      </w:r>
    </w:p>
    <w:sectPr>
      <w:headerReference w:type="default" r:id="rId48"/>
      <w:footerReference w:type="default" r:id="rId49"/>
      <w:type w:val="nextPage"/>
      <w:pgSz w:w="11906" w:h="16838"/>
      <w:pgMar w:left="1701" w:right="1701" w:header="567" w:top="1843" w:footer="0" w:bottom="102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Helvetica">
    <w:altName w:val="Arial"/>
    <w:charset w:val="01"/>
    <w:family w:val="roman"/>
    <w:pitch w:val="variable"/>
  </w:font>
  <w:font w:name="Times New Roman">
    <w:charset w:val="01"/>
    <w:family w:val="roman"/>
    <w:pitch w:val="variable"/>
  </w:font>
  <w:font w:name="Lucida Grande">
    <w:charset w:val="01"/>
    <w:family w:val="roman"/>
    <w:pitch w:val="variable"/>
  </w:font>
  <w:font w:name="Cambria">
    <w:charset w:val="01"/>
    <w:family w:val="roman"/>
    <w:pitch w:val="variable"/>
  </w:font>
  <w:font w:name="Liberation Sans">
    <w:altName w:val="Arial"/>
    <w:charset w:val="01"/>
    <w:family w:val="roman"/>
    <w:pitch w:val="variable"/>
  </w:font>
  <w:font w:name="Arial">
    <w:charset w:val="01"/>
    <w:family w:val="roman"/>
    <w:pitch w:val="variable"/>
  </w:font>
  <w:font w:name="Century Gothic">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Century Gothic" w:hAnsi="Century Gothic"/>
        <w:sz w:val="16"/>
      </w:rPr>
    </w:pPr>
    <w:r>
      <w:rPr>
        <w:rFonts w:ascii="Century Gothic" w:hAnsi="Century Gothic"/>
        <w:sz w:val="16"/>
      </w:rPr>
    </w:r>
  </w:p>
  <w:p>
    <w:pPr>
      <w:pStyle w:val="Normal"/>
      <w:rPr>
        <w:rFonts w:ascii="Century Gothic" w:hAnsi="Century Gothic"/>
        <w:sz w:val="16"/>
      </w:rPr>
    </w:pPr>
    <w:r>
      <w:rPr>
        <w:rFonts w:ascii="Century Gothic" w:hAnsi="Century Gothic"/>
        <w:sz w:val="16"/>
      </w:rPr>
    </w:r>
  </w:p>
  <w:p>
    <w:pPr>
      <w:pStyle w:val="Normal"/>
      <w:rPr>
        <w:rFonts w:ascii="Century Gothic" w:hAnsi="Century Gothic"/>
        <w:sz w:val="16"/>
      </w:rPr>
    </w:pPr>
    <w:r>
      <w:rPr>
        <w:rFonts w:ascii="Century Gothic" w:hAnsi="Century Gothic"/>
        <w:sz w:val="16"/>
      </w:rPr>
    </w:r>
  </w:p>
  <w:p>
    <w:pPr>
      <w:pStyle w:val="Normal"/>
      <w:widowControl/>
      <w:suppressAutoHyphens w:val="false"/>
      <w:bidi w:val="0"/>
      <w:ind w:left="-170" w:right="-170" w:hanging="0"/>
      <w:jc w:val="center"/>
      <w:rPr/>
    </w:pPr>
    <w:bookmarkStart w:id="3" w:name="__DdeLink__228_4073629227"/>
    <w:r>
      <w:rPr>
        <w:rFonts w:ascii="Century Gothic" w:hAnsi="Century Gothic"/>
        <w:sz w:val="16"/>
      </w:rPr>
      <w:t>Ctra. de Ajalvir km. 4, 28850 Torrejón de Ardoz, Madrid, España    tel.: +34 915202107   www.cab.inta-csic.es</w:t>
    </w:r>
    <w:bookmarkEnd w:id="3"/>
  </w:p>
  <w:p>
    <w:pPr>
      <w:pStyle w:val="Footer"/>
      <w:tabs>
        <w:tab w:val="clear" w:pos="4252"/>
        <w:tab w:val="clear" w:pos="8504"/>
      </w:tabs>
      <w:ind w:left="-709" w:right="-568" w:hanging="0"/>
      <w:jc w:val="center"/>
      <w:rPr>
        <w:rFonts w:ascii="Century Gothic" w:hAnsi="Century Gothic"/>
        <w:sz w:val="16"/>
      </w:rPr>
    </w:pPr>
    <w:r>
      <w:rPr>
        <w:rFonts w:ascii="Century Gothic" w:hAnsi="Century Gothic"/>
        <w:sz w:val="16"/>
      </w:rPr>
    </w:r>
  </w:p>
  <w:p>
    <w:pPr>
      <w:pStyle w:val="Footer"/>
      <w:rPr>
        <w:rFonts w:ascii="Century Gothic" w:hAnsi="Century Gothic"/>
      </w:rPr>
    </w:pPr>
    <w:r>
      <w:rPr>
        <w:rFonts w:ascii="Century Gothic" w:hAnsi="Century Gothic"/>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8504"/>
        <w:tab w:val="center" w:pos="4252" w:leader="none"/>
      </w:tabs>
      <w:ind w:right="-1" w:hanging="0"/>
      <w:jc w:val="center"/>
      <w:rPr/>
    </w:pPr>
    <w:r>
      <w:rPr/>
      <w:drawing>
        <wp:anchor behindDoc="1" distT="0" distB="0" distL="0" distR="0" simplePos="0" locked="0" layoutInCell="0" allowOverlap="1" relativeHeight="8">
          <wp:simplePos x="0" y="0"/>
          <wp:positionH relativeFrom="column">
            <wp:align>center</wp:align>
          </wp:positionH>
          <wp:positionV relativeFrom="paragraph">
            <wp:posOffset>635</wp:posOffset>
          </wp:positionV>
          <wp:extent cx="5400675" cy="515620"/>
          <wp:effectExtent l="0" t="0" r="0" b="0"/>
          <wp:wrapSquare wrapText="largest"/>
          <wp:docPr id="11"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 descr=""/>
                  <pic:cNvPicPr>
                    <a:picLocks noChangeAspect="1" noChangeArrowheads="1"/>
                  </pic:cNvPicPr>
                </pic:nvPicPr>
                <pic:blipFill>
                  <a:blip r:embed="rId1"/>
                  <a:stretch>
                    <a:fillRect/>
                  </a:stretch>
                </pic:blipFill>
                <pic:spPr bwMode="auto">
                  <a:xfrm>
                    <a:off x="0" y="0"/>
                    <a:ext cx="5400675" cy="515620"/>
                  </a:xfrm>
                  <a:prstGeom prst="rect">
                    <a:avLst/>
                  </a:prstGeom>
                </pic:spPr>
              </pic:pic>
            </a:graphicData>
          </a:graphic>
        </wp:anchor>
      </w:drawing>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_tradnl" w:eastAsia="ja-JP" w:bidi="sa-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Helvetica" w:hAnsi="Helvetica" w:eastAsia="ＭＳ 明朝" w:cs="Mangal" w:cstheme="minorBidi" w:eastAsiaTheme="minorEastAsia"/>
        <w:szCs w:val="24"/>
        <w:lang w:val="es-ES_tradnl"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a1a3e"/>
    <w:pPr>
      <w:widowControl/>
      <w:suppressAutoHyphens w:val="false"/>
      <w:bidi w:val="0"/>
      <w:spacing w:before="0" w:after="0"/>
      <w:jc w:val="left"/>
    </w:pPr>
    <w:rPr>
      <w:rFonts w:ascii="Times New Roman" w:hAnsi="Times New Roman" w:eastAsia="MS Mincho" w:cs="Mangal" w:cstheme="minorBidi"/>
      <w:color w:val="auto"/>
      <w:kern w:val="0"/>
      <w:sz w:val="24"/>
      <w:szCs w:val="24"/>
      <w:lang w:val="es-ES_tradnl" w:eastAsia="es-ES_tradnl"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f658bb"/>
    <w:rPr/>
  </w:style>
  <w:style w:type="character" w:styleId="PiedepginaCar" w:customStyle="1">
    <w:name w:val="Pie de página Car"/>
    <w:basedOn w:val="DefaultParagraphFont"/>
    <w:link w:val="Piedepgina"/>
    <w:uiPriority w:val="99"/>
    <w:qFormat/>
    <w:rsid w:val="00f658bb"/>
    <w:rPr/>
  </w:style>
  <w:style w:type="character" w:styleId="Appleconvertedspace" w:customStyle="1">
    <w:name w:val="apple-converted-space"/>
    <w:basedOn w:val="DefaultParagraphFont"/>
    <w:qFormat/>
    <w:rsid w:val="00223ba0"/>
    <w:rPr/>
  </w:style>
  <w:style w:type="character" w:styleId="TextodegloboCar" w:customStyle="1">
    <w:name w:val="Texto de globo Car"/>
    <w:basedOn w:val="DefaultParagraphFont"/>
    <w:link w:val="Textodeglobo"/>
    <w:uiPriority w:val="99"/>
    <w:semiHidden/>
    <w:qFormat/>
    <w:rsid w:val="00223ba0"/>
    <w:rPr>
      <w:rFonts w:ascii="Lucida Grande" w:hAnsi="Lucida Grande" w:cs="Lucida Grande"/>
      <w:sz w:val="18"/>
      <w:szCs w:val="18"/>
    </w:rPr>
  </w:style>
  <w:style w:type="character" w:styleId="Ninguno" w:customStyle="1">
    <w:name w:val="Ninguno"/>
    <w:qFormat/>
    <w:rsid w:val="00fe546c"/>
    <w:rPr>
      <w:lang w:val="en-US"/>
    </w:rPr>
  </w:style>
  <w:style w:type="character" w:styleId="Hipervnculo1" w:customStyle="1">
    <w:name w:val="Hipervínculo1"/>
    <w:basedOn w:val="DefaultParagraphFont"/>
    <w:uiPriority w:val="99"/>
    <w:unhideWhenUsed/>
    <w:qFormat/>
    <w:rsid w:val="003d6b69"/>
    <w:rPr>
      <w:color w:val="0000FF"/>
      <w:u w:val="single"/>
    </w:rPr>
  </w:style>
  <w:style w:type="character" w:styleId="EnlacedeInternetvisitado" w:customStyle="1">
    <w:name w:val="Enlace de Internet visitado"/>
    <w:basedOn w:val="DefaultParagraphFont"/>
    <w:uiPriority w:val="99"/>
    <w:semiHidden/>
    <w:unhideWhenUsed/>
    <w:qFormat/>
    <w:rsid w:val="004740b9"/>
    <w:rPr>
      <w:color w:val="800080" w:themeColor="followedHyperlink"/>
      <w:u w:val="single"/>
    </w:rPr>
  </w:style>
  <w:style w:type="character" w:styleId="Annotationreference">
    <w:name w:val="annotation reference"/>
    <w:basedOn w:val="DefaultParagraphFont"/>
    <w:uiPriority w:val="99"/>
    <w:semiHidden/>
    <w:unhideWhenUsed/>
    <w:qFormat/>
    <w:rsid w:val="004015a7"/>
    <w:rPr>
      <w:sz w:val="16"/>
      <w:szCs w:val="16"/>
    </w:rPr>
  </w:style>
  <w:style w:type="character" w:styleId="TextocomentarioCar" w:customStyle="1">
    <w:name w:val="Texto comentario Car"/>
    <w:basedOn w:val="DefaultParagraphFont"/>
    <w:link w:val="Textocomentario"/>
    <w:uiPriority w:val="99"/>
    <w:semiHidden/>
    <w:qFormat/>
    <w:rsid w:val="004015a7"/>
    <w:rPr>
      <w:rFonts w:ascii="Cambria" w:hAnsi="Cambria" w:eastAsia="Cambria" w:asciiTheme="minorHAnsi" w:eastAsiaTheme="minorHAnsi" w:hAnsiTheme="minorHAnsi"/>
      <w:sz w:val="20"/>
      <w:szCs w:val="20"/>
      <w:lang w:val="es-ES" w:eastAsia="en-US"/>
    </w:rPr>
  </w:style>
  <w:style w:type="character" w:styleId="Mencinsinresolver1" w:customStyle="1">
    <w:name w:val="Mención sin resolver1"/>
    <w:basedOn w:val="DefaultParagraphFont"/>
    <w:uiPriority w:val="99"/>
    <w:semiHidden/>
    <w:unhideWhenUsed/>
    <w:qFormat/>
    <w:rsid w:val="00be40a9"/>
    <w:rPr>
      <w:color w:val="605E5C"/>
      <w:shd w:fill="E1DFDD" w:val="clear"/>
    </w:rPr>
  </w:style>
  <w:style w:type="character" w:styleId="Strong">
    <w:name w:val="Strong"/>
    <w:basedOn w:val="DefaultParagraphFont"/>
    <w:uiPriority w:val="22"/>
    <w:qFormat/>
    <w:rsid w:val="00996a4c"/>
    <w:rPr>
      <w:b/>
      <w:bCs/>
    </w:rPr>
  </w:style>
  <w:style w:type="character" w:styleId="Mencinsinresolver2" w:customStyle="1">
    <w:name w:val="Mención sin resolver2"/>
    <w:basedOn w:val="DefaultParagraphFont"/>
    <w:uiPriority w:val="99"/>
    <w:semiHidden/>
    <w:unhideWhenUsed/>
    <w:qFormat/>
    <w:rsid w:val="00ff4d99"/>
    <w:rPr>
      <w:color w:val="605E5C"/>
      <w:shd w:fill="E1DFDD" w:val="clear"/>
    </w:rPr>
  </w:style>
  <w:style w:type="character" w:styleId="AsuntodelcomentarioCar" w:customStyle="1">
    <w:name w:val="Asunto del comentario Car"/>
    <w:basedOn w:val="TextocomentarioCar"/>
    <w:link w:val="Asuntodelcomentario"/>
    <w:uiPriority w:val="99"/>
    <w:semiHidden/>
    <w:qFormat/>
    <w:rsid w:val="00d617c3"/>
    <w:rPr>
      <w:rFonts w:ascii="Cambria" w:hAnsi="Cambria" w:eastAsia="Cambria" w:asciiTheme="minorHAnsi" w:eastAsiaTheme="minorHAnsi" w:hAnsiTheme="minorHAnsi"/>
      <w:b/>
      <w:bCs/>
      <w:sz w:val="20"/>
      <w:szCs w:val="20"/>
      <w:lang w:val="es-ES" w:eastAsia="en-US"/>
    </w:rPr>
  </w:style>
  <w:style w:type="character" w:styleId="Mencinsinresolver3" w:customStyle="1">
    <w:name w:val="Mención sin resolver3"/>
    <w:basedOn w:val="DefaultParagraphFont"/>
    <w:uiPriority w:val="99"/>
    <w:semiHidden/>
    <w:unhideWhenUsed/>
    <w:qFormat/>
    <w:rsid w:val="00c87ff5"/>
    <w:rPr>
      <w:color w:val="605E5C"/>
      <w:shd w:fill="E1DFDD" w:val="clear"/>
    </w:rPr>
  </w:style>
  <w:style w:type="character" w:styleId="Ninguno0" w:customStyle="1">
    <w:name w:val="ninguno0"/>
    <w:basedOn w:val="DefaultParagraphFont"/>
    <w:qFormat/>
    <w:rsid w:val="00356b8d"/>
    <w:rPr/>
  </w:style>
  <w:style w:type="character" w:styleId="Mencinsinresolver4" w:customStyle="1">
    <w:name w:val="Mención sin resolver4"/>
    <w:basedOn w:val="DefaultParagraphFont"/>
    <w:uiPriority w:val="99"/>
    <w:semiHidden/>
    <w:unhideWhenUsed/>
    <w:qFormat/>
    <w:rsid w:val="003d6b69"/>
    <w:rPr>
      <w:color w:val="605E5C"/>
      <w:shd w:fill="E1DFDD" w:val="clear"/>
    </w:rPr>
  </w:style>
  <w:style w:type="character" w:styleId="Elementorpostinfotermslistitem" w:customStyle="1">
    <w:name w:val="elementor-post-info__terms-list-item"/>
    <w:basedOn w:val="DefaultParagraphFont"/>
    <w:qFormat/>
    <w:rsid w:val="005d0734"/>
    <w:rPr/>
  </w:style>
  <w:style w:type="character" w:styleId="EnlacedeInternet" w:customStyle="1">
    <w:name w:val="Enlace de Internet"/>
    <w:qFormat/>
    <w:rPr>
      <w:color w:val="000080"/>
      <w:u w:val="single"/>
    </w:rPr>
  </w:style>
  <w:style w:type="character" w:styleId="Numeracinderenglones" w:customStyle="1">
    <w:name w:val="Numeración de renglones"/>
    <w:qFormat/>
    <w:rPr/>
  </w:style>
  <w:style w:type="character" w:styleId="InternetLink">
    <w:name w:val="Hyperlink"/>
    <w:basedOn w:val="DefaultParagraphFont"/>
    <w:uiPriority w:val="99"/>
    <w:unhideWhenUsed/>
    <w:rsid w:val="000b16eb"/>
    <w:rPr>
      <w:color w:val="0000FF" w:themeColor="hyperlink"/>
      <w:u w:val="single"/>
    </w:rPr>
  </w:style>
  <w:style w:type="character" w:styleId="Mencinsinresolver5" w:customStyle="1">
    <w:name w:val="Mención sin resolver5"/>
    <w:basedOn w:val="DefaultParagraphFont"/>
    <w:uiPriority w:val="99"/>
    <w:semiHidden/>
    <w:unhideWhenUsed/>
    <w:qFormat/>
    <w:rsid w:val="000b16eb"/>
    <w:rPr>
      <w:color w:val="605E5C"/>
      <w:shd w:fill="E1DFDD" w:val="clear"/>
    </w:rPr>
  </w:style>
  <w:style w:type="character" w:styleId="UnresolvedMention" w:customStyle="1">
    <w:name w:val="Unresolved Mention"/>
    <w:basedOn w:val="DefaultParagraphFont"/>
    <w:uiPriority w:val="99"/>
    <w:semiHidden/>
    <w:unhideWhenUsed/>
    <w:qFormat/>
    <w:rsid w:val="0058203a"/>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uppressAutoHyphens w:val="true"/>
      <w:spacing w:lineRule="auto" w:line="276" w:before="0" w:after="140"/>
    </w:pPr>
    <w:rPr>
      <w:rFonts w:ascii="Helvetica" w:hAnsi="Helvetica" w:eastAsia="ＭＳ 明朝" w:cs="Mangal" w:cstheme="minorBidi" w:eastAsiaTheme="minorEastAsia"/>
      <w:lang w:eastAsia="es-ES"/>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tulo1" w:customStyle="1">
    <w:name w:val="Título1"/>
    <w:basedOn w:val="Normal"/>
    <w:next w:val="TextBody"/>
    <w:qFormat/>
    <w:pPr>
      <w:keepNext w:val="true"/>
      <w:suppressAutoHyphens w:val="true"/>
      <w:spacing w:before="240" w:after="120"/>
    </w:pPr>
    <w:rPr>
      <w:rFonts w:ascii="Liberation Sans" w:hAnsi="Liberation Sans" w:eastAsia="Noto Sans CJK SC Regular" w:cs="Lohit Devanagari"/>
      <w:sz w:val="28"/>
      <w:szCs w:val="28"/>
      <w:lang w:eastAsia="es-ES"/>
    </w:rPr>
  </w:style>
  <w:style w:type="paragraph" w:styleId="Caption1">
    <w:name w:val="caption"/>
    <w:basedOn w:val="Normal"/>
    <w:qFormat/>
    <w:pPr>
      <w:suppressLineNumbers/>
      <w:suppressAutoHyphens w:val="true"/>
      <w:spacing w:before="120" w:after="120"/>
    </w:pPr>
    <w:rPr>
      <w:rFonts w:ascii="Helvetica" w:hAnsi="Helvetica" w:eastAsia="ＭＳ 明朝" w:cs="Lohit Devanagari" w:eastAsiaTheme="minorEastAsia"/>
      <w:i/>
      <w:iCs/>
      <w:lang w:eastAsia="es-ES"/>
    </w:rPr>
  </w:style>
  <w:style w:type="paragraph" w:styleId="Ndice" w:customStyle="1">
    <w:name w:val="Índice"/>
    <w:basedOn w:val="Normal"/>
    <w:qFormat/>
    <w:pPr>
      <w:suppressLineNumbers/>
      <w:suppressAutoHyphens w:val="true"/>
    </w:pPr>
    <w:rPr>
      <w:rFonts w:ascii="Helvetica" w:hAnsi="Helvetica" w:eastAsia="ＭＳ 明朝" w:cs="Lohit Devanagari" w:eastAsiaTheme="minorEastAsia"/>
      <w:lang w:eastAsia="es-ES"/>
    </w:rPr>
  </w:style>
  <w:style w:type="paragraph" w:styleId="Cabeceraypie" w:customStyle="1">
    <w:name w:val="Cabecera y pie"/>
    <w:basedOn w:val="Normal"/>
    <w:qFormat/>
    <w:pPr>
      <w:suppressAutoHyphens w:val="true"/>
    </w:pPr>
    <w:rPr>
      <w:rFonts w:ascii="Helvetica" w:hAnsi="Helvetica" w:eastAsia="ＭＳ 明朝" w:cs="Mangal" w:cstheme="minorBidi" w:eastAsiaTheme="minorEastAsia"/>
      <w:lang w:eastAsia="es-ES"/>
    </w:rPr>
  </w:style>
  <w:style w:type="paragraph" w:styleId="HeaderandFooter">
    <w:name w:val="Header and Footer"/>
    <w:basedOn w:val="Normal"/>
    <w:qFormat/>
    <w:pPr/>
    <w:rPr/>
  </w:style>
  <w:style w:type="paragraph" w:styleId="Header">
    <w:name w:val="Header"/>
    <w:basedOn w:val="Normal"/>
    <w:link w:val="EncabezadoCar"/>
    <w:uiPriority w:val="99"/>
    <w:unhideWhenUsed/>
    <w:rsid w:val="00f658bb"/>
    <w:pPr>
      <w:tabs>
        <w:tab w:val="clear" w:pos="708"/>
        <w:tab w:val="center" w:pos="4252" w:leader="none"/>
        <w:tab w:val="right" w:pos="8504" w:leader="none"/>
      </w:tabs>
      <w:suppressAutoHyphens w:val="true"/>
    </w:pPr>
    <w:rPr>
      <w:rFonts w:ascii="Helvetica" w:hAnsi="Helvetica" w:eastAsia="ＭＳ 明朝" w:cs="Mangal" w:cstheme="minorBidi" w:eastAsiaTheme="minorEastAsia"/>
      <w:lang w:eastAsia="es-ES"/>
    </w:rPr>
  </w:style>
  <w:style w:type="paragraph" w:styleId="Footer">
    <w:name w:val="Footer"/>
    <w:basedOn w:val="Normal"/>
    <w:link w:val="PiedepginaCar"/>
    <w:unhideWhenUsed/>
    <w:rsid w:val="00f658bb"/>
    <w:pPr>
      <w:tabs>
        <w:tab w:val="clear" w:pos="708"/>
        <w:tab w:val="center" w:pos="4252" w:leader="none"/>
        <w:tab w:val="right" w:pos="8504" w:leader="none"/>
      </w:tabs>
      <w:suppressAutoHyphens w:val="true"/>
    </w:pPr>
    <w:rPr>
      <w:rFonts w:ascii="Helvetica" w:hAnsi="Helvetica" w:eastAsia="ＭＳ 明朝" w:cs="Mangal" w:cstheme="minorBidi" w:eastAsiaTheme="minorEastAsia"/>
      <w:lang w:eastAsia="es-ES"/>
    </w:rPr>
  </w:style>
  <w:style w:type="paragraph" w:styleId="BalloonText">
    <w:name w:val="Balloon Text"/>
    <w:basedOn w:val="Normal"/>
    <w:link w:val="TextodegloboCar"/>
    <w:uiPriority w:val="99"/>
    <w:semiHidden/>
    <w:unhideWhenUsed/>
    <w:qFormat/>
    <w:rsid w:val="00223ba0"/>
    <w:pPr/>
    <w:rPr>
      <w:rFonts w:ascii="Lucida Grande" w:hAnsi="Lucida Grande" w:cs="Lucida Grande"/>
      <w:sz w:val="18"/>
      <w:szCs w:val="18"/>
    </w:rPr>
  </w:style>
  <w:style w:type="paragraph" w:styleId="BodyText1" w:customStyle="1">
    <w:name w:val="Body Text1"/>
    <w:basedOn w:val="Normal"/>
    <w:qFormat/>
    <w:rsid w:val="00fe546c"/>
    <w:pPr>
      <w:widowControl w:val="false"/>
      <w:suppressAutoHyphens w:val="true"/>
      <w:spacing w:lineRule="auto" w:line="288" w:before="0" w:after="140"/>
    </w:pPr>
    <w:rPr>
      <w:rFonts w:eastAsia="Arial Unicode MS" w:cs="Arial Unicode MS"/>
      <w:color w:val="000000"/>
      <w:u w:val="none" w:color="000000"/>
      <w:lang w:eastAsia="es-ES"/>
    </w:rPr>
  </w:style>
  <w:style w:type="paragraph" w:styleId="Default" w:customStyle="1">
    <w:name w:val="Default"/>
    <w:qFormat/>
    <w:rsid w:val="00ac49f0"/>
    <w:pPr>
      <w:widowControl w:val="false"/>
      <w:bidi w:val="0"/>
      <w:spacing w:before="0" w:after="0"/>
      <w:jc w:val="left"/>
    </w:pPr>
    <w:rPr>
      <w:rFonts w:ascii="Arial" w:hAnsi="Arial" w:eastAsia="MS Mincho" w:cs="Arial"/>
      <w:color w:val="000000"/>
      <w:kern w:val="0"/>
      <w:sz w:val="24"/>
      <w:szCs w:val="24"/>
      <w:lang w:val="es-ES" w:eastAsia="es-ES" w:bidi="ar-SA"/>
    </w:rPr>
  </w:style>
  <w:style w:type="paragraph" w:styleId="Annotationtext">
    <w:name w:val="annotation text"/>
    <w:basedOn w:val="Normal"/>
    <w:link w:val="TextocomentarioCar"/>
    <w:uiPriority w:val="99"/>
    <w:semiHidden/>
    <w:unhideWhenUsed/>
    <w:qFormat/>
    <w:rsid w:val="004015a7"/>
    <w:pPr>
      <w:suppressAutoHyphens w:val="true"/>
      <w:spacing w:before="0" w:after="160"/>
    </w:pPr>
    <w:rPr>
      <w:rFonts w:ascii="Cambria" w:hAnsi="Cambria" w:eastAsia="Cambria" w:cs="Mangal" w:asciiTheme="minorHAnsi" w:cstheme="minorBidi" w:eastAsiaTheme="minorHAnsi" w:hAnsiTheme="minorHAnsi"/>
      <w:sz w:val="20"/>
      <w:szCs w:val="20"/>
      <w:lang w:val="es-ES" w:eastAsia="en-US"/>
    </w:rPr>
  </w:style>
  <w:style w:type="paragraph" w:styleId="Revision">
    <w:name w:val="Revision"/>
    <w:uiPriority w:val="99"/>
    <w:semiHidden/>
    <w:qFormat/>
    <w:rsid w:val="00b31308"/>
    <w:pPr>
      <w:widowControl/>
      <w:bidi w:val="0"/>
      <w:spacing w:before="0" w:after="0"/>
      <w:jc w:val="left"/>
    </w:pPr>
    <w:rPr>
      <w:rFonts w:ascii="Helvetica" w:hAnsi="Helvetica" w:eastAsia="ＭＳ 明朝" w:cs="Mangal" w:cstheme="minorBidi" w:eastAsiaTheme="minorEastAsia"/>
      <w:color w:val="auto"/>
      <w:kern w:val="0"/>
      <w:sz w:val="24"/>
      <w:szCs w:val="24"/>
      <w:lang w:val="es-ES_tradnl" w:eastAsia="es-ES" w:bidi="ar-SA"/>
    </w:rPr>
  </w:style>
  <w:style w:type="paragraph" w:styleId="Annotationsubject">
    <w:name w:val="annotation subject"/>
    <w:basedOn w:val="Annotationtext"/>
    <w:next w:val="Annotationtext"/>
    <w:link w:val="AsuntodelcomentarioCar"/>
    <w:uiPriority w:val="99"/>
    <w:semiHidden/>
    <w:unhideWhenUsed/>
    <w:qFormat/>
    <w:rsid w:val="00d617c3"/>
    <w:pPr>
      <w:spacing w:before="0" w:after="0"/>
    </w:pPr>
    <w:rPr>
      <w:rFonts w:ascii="Helvetica" w:hAnsi="Helvetica" w:eastAsia="ＭＳ 明朝" w:eastAsiaTheme="minorEastAsia"/>
      <w:b/>
      <w:bCs/>
      <w:lang w:val="es-ES_tradnl" w:eastAsia="es-ES"/>
    </w:rPr>
  </w:style>
  <w:style w:type="paragraph" w:styleId="FrameContents" w:customStyle="1">
    <w:name w:val="Frame Contents"/>
    <w:basedOn w:val="Normal"/>
    <w:qFormat/>
    <w:pPr>
      <w:suppressAutoHyphens w:val="true"/>
    </w:pPr>
    <w:rPr>
      <w:rFonts w:ascii="Helvetica" w:hAnsi="Helvetica" w:eastAsia="ＭＳ 明朝" w:cs="Mangal" w:cstheme="minorBidi" w:eastAsiaTheme="minorEastAsia"/>
      <w:lang w:eastAsia="es-ES"/>
    </w:rPr>
  </w:style>
  <w:style w:type="paragraph" w:styleId="Elementoriconlistitem" w:customStyle="1">
    <w:name w:val="elementor-icon-list-item"/>
    <w:basedOn w:val="Normal"/>
    <w:qFormat/>
    <w:rsid w:val="005d0734"/>
    <w:pPr>
      <w:suppressAutoHyphens w:val="true"/>
      <w:spacing w:beforeAutospacing="1" w:afterAutospacing="1"/>
    </w:pPr>
    <w:rPr>
      <w:rFonts w:eastAsia="Times New Roman" w:cs="Times New Roman"/>
      <w:lang w:val="es-ES" w:eastAsia="es-ES"/>
    </w:rPr>
  </w:style>
  <w:style w:type="paragraph" w:styleId="Contenidodelmarco" w:customStyle="1">
    <w:name w:val="Contenido del marco"/>
    <w:basedOn w:val="Normal"/>
    <w:qFormat/>
    <w:pPr>
      <w:suppressAutoHyphens w:val="true"/>
    </w:pPr>
    <w:rPr>
      <w:rFonts w:ascii="Helvetica" w:hAnsi="Helvetica" w:eastAsia="ＭＳ 明朝" w:cs="Mangal" w:cstheme="minorBidi" w:eastAsiaTheme="minorEastAsia"/>
      <w:lang w:eastAsia="es-ES"/>
    </w:rPr>
  </w:style>
  <w:style w:type="paragraph" w:styleId="Normal1">
    <w:name w:val="LO-normal"/>
    <w:qFormat/>
    <w:pPr>
      <w:widowControl/>
      <w:bidi w:val="0"/>
      <w:spacing w:lineRule="auto" w:line="276" w:before="0" w:after="0"/>
      <w:jc w:val="left"/>
    </w:pPr>
    <w:rPr>
      <w:rFonts w:ascii="Helvetica" w:hAnsi="Helvetica" w:eastAsia="ＭＳ 明朝" w:cs="Mangal" w:cstheme="minorBidi" w:eastAsiaTheme="minorEastAsia"/>
      <w:color w:val="auto"/>
      <w:kern w:val="0"/>
      <w:sz w:val="20"/>
      <w:szCs w:val="24"/>
      <w:lang w:val="es-ES_tradnl"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armenes.caha.es/" TargetMode="External"/><Relationship Id="rId3" Type="http://schemas.openxmlformats.org/officeDocument/2006/relationships/hyperlink" Target="http://www.caha.es/es/" TargetMode="External"/><Relationship Id="rId4" Type="http://schemas.openxmlformats.org/officeDocument/2006/relationships/hyperlink" Target="http://www.mpia.de/" TargetMode="External"/><Relationship Id="rId5" Type="http://schemas.openxmlformats.org/officeDocument/2006/relationships/hyperlink" Target="https://www.iaa.csic.es/" TargetMode="External"/><Relationship Id="rId6" Type="http://schemas.openxmlformats.org/officeDocument/2006/relationships/hyperlink" Target="https://www.lsw.uni-heidelberg.de/" TargetMode="External"/><Relationship Id="rId7" Type="http://schemas.openxmlformats.org/officeDocument/2006/relationships/hyperlink" Target="https://www.ice.csic.es/" TargetMode="External"/><Relationship Id="rId8" Type="http://schemas.openxmlformats.org/officeDocument/2006/relationships/hyperlink" Target="http://www.uni-goettingen.de/de/203293.html" TargetMode="External"/><Relationship Id="rId9" Type="http://schemas.openxmlformats.org/officeDocument/2006/relationships/hyperlink" Target="https://www.ucm.es/" TargetMode="External"/><Relationship Id="rId10" Type="http://schemas.openxmlformats.org/officeDocument/2006/relationships/hyperlink" Target="http://www.tls-tautenburg.de/" TargetMode="External"/><Relationship Id="rId11" Type="http://schemas.openxmlformats.org/officeDocument/2006/relationships/hyperlink" Target="https://www.iac.es/" TargetMode="External"/><Relationship Id="rId12" Type="http://schemas.openxmlformats.org/officeDocument/2006/relationships/hyperlink" Target="http://www.hs.uni-hamburg.de/" TargetMode="External"/><Relationship Id="rId13" Type="http://schemas.openxmlformats.org/officeDocument/2006/relationships/hyperlink" Target="https://cab.inta-csic.es/" TargetMode="External"/><Relationship Id="rId14" Type="http://schemas.openxmlformats.org/officeDocument/2006/relationships/hyperlink" Target="http://www.caha.es/" TargetMode="External"/><Relationship Id="rId15" Type="http://schemas.openxmlformats.org/officeDocument/2006/relationships/hyperlink" Target="http://www.caha.es/" TargetMode="External"/><Relationship Id="rId16" Type="http://schemas.openxmlformats.org/officeDocument/2006/relationships/hyperlink" Target="https://www.ieec.cat/" TargetMode="External"/><Relationship Id="rId17" Type="http://schemas.openxmlformats.org/officeDocument/2006/relationships/hyperlink" Target="https://carmenes.caha.es/ext/pressreleases/DR1/DR1.es.gif" TargetMode="External"/><Relationship Id="rId18" Type="http://schemas.openxmlformats.org/officeDocument/2006/relationships/hyperlink" Target="" TargetMode="External"/><Relationship Id="rId19" Type="http://schemas.openxmlformats.org/officeDocument/2006/relationships/hyperlink" Target="https://carmenes.caha.es/" TargetMode="External"/><Relationship Id="rId20" Type="http://schemas.openxmlformats.org/officeDocument/2006/relationships/hyperlink" Target="http://www.caha.es/es/" TargetMode="External"/><Relationship Id="rId21" Type="http://schemas.openxmlformats.org/officeDocument/2006/relationships/hyperlink" Target="https://cab.inta-csic.es/?lng=en" TargetMode="External"/><Relationship Id="rId22" Type="http://schemas.openxmlformats.org/officeDocument/2006/relationships/hyperlink" Target="https://carmenes.caha.es/com/fig/CARMENES-blueearthsaroundreddwarfs.png" TargetMode="External"/><Relationship Id="rId23" Type="http://schemas.openxmlformats.org/officeDocument/2006/relationships/hyperlink" Target="https://cab.inta-csic.es/es/inicio" TargetMode="External"/><Relationship Id="rId24" Type="http://schemas.openxmlformats.org/officeDocument/2006/relationships/hyperlink" Target="https://mars.nasa.gov/msl/spacecraft/instruments/rems/" TargetMode="External"/><Relationship Id="rId25" Type="http://schemas.openxmlformats.org/officeDocument/2006/relationships/hyperlink" Target="https://mars.nasa.gov/insight/" TargetMode="External"/><Relationship Id="rId26" Type="http://schemas.openxmlformats.org/officeDocument/2006/relationships/hyperlink" Target="https://mars.nasa.gov/mars2020/mission/instruments/meda/" TargetMode="External"/><Relationship Id="rId27" Type="http://schemas.openxmlformats.org/officeDocument/2006/relationships/hyperlink" Target="https://exploration.esa.int/web/mars/-/45103-rover-instruments?section=rls---raman-laser-spectrometer" TargetMode="External"/><Relationship Id="rId28" Type="http://schemas.openxmlformats.org/officeDocument/2006/relationships/hyperlink" Target="https://auditore.cab.inta-csic.es/solid/en/" TargetMode="External"/><Relationship Id="rId29" Type="http://schemas.openxmlformats.org/officeDocument/2006/relationships/hyperlink" Target="https://carmenes.caha.es/" TargetMode="External"/><Relationship Id="rId30" Type="http://schemas.openxmlformats.org/officeDocument/2006/relationships/hyperlink" Target="https://www.esa.int/Science_Exploration/Space_Science/Cheops" TargetMode="External"/><Relationship Id="rId31" Type="http://schemas.openxmlformats.org/officeDocument/2006/relationships/hyperlink" Target="https://sci.esa.int/web/bepicolombo" TargetMode="External"/><Relationship Id="rId32" Type="http://schemas.openxmlformats.org/officeDocument/2006/relationships/hyperlink" Target="https://dart.jhuapl.edu/" TargetMode="External"/><Relationship Id="rId33" Type="http://schemas.openxmlformats.org/officeDocument/2006/relationships/hyperlink" Target="https://www.heramission.space/" TargetMode="External"/><Relationship Id="rId34" Type="http://schemas.openxmlformats.org/officeDocument/2006/relationships/hyperlink" Target="https://cab.inta-csic.es/proyectos/telescopio-espacial-james-webb-jwst/" TargetMode="External"/><Relationship Id="rId35" Type="http://schemas.openxmlformats.org/officeDocument/2006/relationships/hyperlink" Target="https://cab.inta-csic.es/proyectos/telescopio-espacial-james-webb-jwst/" TargetMode="External"/><Relationship Id="rId36" Type="http://schemas.openxmlformats.org/officeDocument/2006/relationships/hyperlink" Target="https://www.jwst.nasa.gov/" TargetMode="External"/><Relationship Id="rId37" Type="http://schemas.openxmlformats.org/officeDocument/2006/relationships/hyperlink" Target="https://cab.inta-csic.es/proyectos/telescopio-elt/" TargetMode="External"/><Relationship Id="rId38" Type="http://schemas.openxmlformats.org/officeDocument/2006/relationships/hyperlink" Target="https://elt.eso.org/" TargetMode="External"/><Relationship Id="rId39" Type="http://schemas.openxmlformats.org/officeDocument/2006/relationships/hyperlink" Target="https://www.eso.org/public/" TargetMode="External"/><Relationship Id="rId40" Type="http://schemas.openxmlformats.org/officeDocument/2006/relationships/image" Target="media/image1.jpeg"/><Relationship Id="rId41" Type="http://schemas.openxmlformats.org/officeDocument/2006/relationships/image" Target="media/image2.jpeg"/><Relationship Id="rId42" Type="http://schemas.openxmlformats.org/officeDocument/2006/relationships/image" Target="media/image3.png"/><Relationship Id="rId43" Type="http://schemas.openxmlformats.org/officeDocument/2006/relationships/image" Target="media/image4.png"/><Relationship Id="rId44" Type="http://schemas.openxmlformats.org/officeDocument/2006/relationships/image" Target="media/image5.png"/><Relationship Id="rId45" Type="http://schemas.openxmlformats.org/officeDocument/2006/relationships/image" Target="media/image6.png"/><Relationship Id="rId46" Type="http://schemas.openxmlformats.org/officeDocument/2006/relationships/image" Target="media/image7.jpeg"/><Relationship Id="rId47" Type="http://schemas.openxmlformats.org/officeDocument/2006/relationships/image" Target="media/image8.jpeg"/><Relationship Id="rId48" Type="http://schemas.openxmlformats.org/officeDocument/2006/relationships/header" Target="header1.xml"/><Relationship Id="rId49" Type="http://schemas.openxmlformats.org/officeDocument/2006/relationships/footer" Target="footer1.xml"/><Relationship Id="rId50" Type="http://schemas.openxmlformats.org/officeDocument/2006/relationships/fontTable" Target="fontTable.xml"/><Relationship Id="rId51" Type="http://schemas.openxmlformats.org/officeDocument/2006/relationships/settings" Target="settings.xml"/><Relationship Id="rId52" Type="http://schemas.openxmlformats.org/officeDocument/2006/relationships/theme" Target="theme/theme1.xml"/><Relationship Id="rId53"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9.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239A5-F37F-44BB-A01C-075EC1416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Application>LibreOffice/7.0.6.2$Linux_X86_64 LibreOffice_project/00$Build-2</Application>
  <AppVersion>15.0000</AppVersion>
  <DocSecurity>4</DocSecurity>
  <Pages>5</Pages>
  <Words>1458</Words>
  <Characters>8126</Characters>
  <CharactersWithSpaces>9561</CharactersWithSpaces>
  <Paragraphs>40</Paragraphs>
  <Company>Centro de Astrobiología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2023-01-18T09:53:00Z</dcterms:created>
  <dc:creator>Unidad de Cultura Científica</dc:creator>
  <dc:description/>
  <dc:language>es-ES</dc:language>
  <cp:lastModifiedBy/>
  <dcterms:modified xsi:type="dcterms:W3CDTF">2023-02-20T14:10:37Z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